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w:t>
      </w:r>
      <w:bookmarkStart w:id="0" w:name="_GoBack"/>
      <w:bookmarkEnd w:id="0"/>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3396362"/>
    <w:rsid w:val="328721E1"/>
    <w:rsid w:val="41D35998"/>
    <w:rsid w:val="43AD46AD"/>
    <w:rsid w:val="4CB96868"/>
    <w:rsid w:val="4EE24A04"/>
    <w:rsid w:val="5A363543"/>
    <w:rsid w:val="5BC0658B"/>
    <w:rsid w:val="5DA43F34"/>
    <w:rsid w:val="5F9D164F"/>
    <w:rsid w:val="61BC2333"/>
    <w:rsid w:val="62EF0B0A"/>
    <w:rsid w:val="68874BCE"/>
    <w:rsid w:val="763227B1"/>
    <w:rsid w:val="7BDD17B9"/>
    <w:rsid w:val="7BF833DD"/>
    <w:rsid w:val="7E2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2022-01-17T07:35:35Z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5EF0430EBCD44D56B189F7BC0FBC8A02</vt:lpwstr>
  </property>
</Properties>
</file>