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一、资料清单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二、发送电子邮件详细方式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</w:t>
      </w:r>
      <w:r>
        <w:rPr>
          <w:rFonts w:hint="eastAsia"/>
          <w:highlight w:val="green"/>
          <w:lang w:eastAsia="zh-CN"/>
        </w:rPr>
        <w:t>三个工作日后</w:t>
      </w:r>
      <w:r>
        <w:rPr>
          <w:rFonts w:hint="eastAsia"/>
          <w:lang w:eastAsia="zh-CN"/>
        </w:rPr>
        <w:t>统一</w:t>
      </w:r>
      <w:r>
        <w:rPr>
          <w:rFonts w:hint="eastAsia"/>
        </w:rPr>
        <w:t>将公开议价文件发至供应商邮箱。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1CF31FA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6</TotalTime>
  <ScaleCrop>false</ScaleCrop>
  <LinksUpToDate>false</LinksUpToDate>
  <CharactersWithSpaces>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2023-11-22T07:49:31Z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4C13D0CB15734D8C91539F9B7C371711</vt:lpwstr>
  </property>
</Properties>
</file>