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(9)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检测方应具备医疗机构执业许可证；正式运营三个月以上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2253F71"/>
    <w:rsid w:val="03032644"/>
    <w:rsid w:val="07985BDA"/>
    <w:rsid w:val="082F4991"/>
    <w:rsid w:val="0AA1400C"/>
    <w:rsid w:val="10AA4EBF"/>
    <w:rsid w:val="10DA3020"/>
    <w:rsid w:val="118E1D20"/>
    <w:rsid w:val="1399464B"/>
    <w:rsid w:val="161213BC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2024-01-25T08:03:44Z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7FA47D25F66140978DC56E32C8DBFBCC_13</vt:lpwstr>
  </property>
</Properties>
</file>