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20151F4E">
      <w:pPr>
        <w:jc w:val="center"/>
        <w:rPr>
          <w:rFonts w:hint="eastAsia" w:ascii="宋体" w:hAnsi="宋体" w:cs="宋体"/>
          <w:b/>
          <w:sz w:val="40"/>
          <w:szCs w:val="40"/>
          <w:highlight w:val="none"/>
          <w:lang w:eastAsia="zh-CN"/>
        </w:rPr>
      </w:pPr>
      <w:r>
        <w:rPr>
          <w:rFonts w:hint="eastAsia" w:ascii="宋体" w:hAnsi="宋体" w:cs="宋体"/>
          <w:b/>
          <w:sz w:val="40"/>
          <w:szCs w:val="40"/>
        </w:rPr>
        <w:t>河南省胸科医院</w:t>
      </w:r>
      <w:r>
        <w:rPr>
          <w:rFonts w:hint="eastAsia" w:ascii="宋体" w:hAnsi="宋体" w:cs="宋体"/>
          <w:b/>
          <w:sz w:val="40"/>
          <w:szCs w:val="40"/>
          <w:highlight w:val="none"/>
          <w:lang w:eastAsia="zh-CN"/>
        </w:rPr>
        <w:t>有创呼吸机</w:t>
      </w:r>
    </w:p>
    <w:p w14:paraId="75E3E65C">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color w:val="000000" w:themeColor="text1"/>
          <w:sz w:val="40"/>
          <w:szCs w:val="40"/>
          <w:highlight w:val="none"/>
          <w:u w:val="none"/>
          <w14:textFill>
            <w14:solidFill>
              <w14:schemeClr w14:val="tx1"/>
            </w14:solidFill>
          </w14:textFill>
        </w:rPr>
        <w:fldChar w:fldCharType="begin"/>
      </w:r>
      <w:r>
        <w:rPr>
          <w:rFonts w:hint="eastAsia" w:ascii="宋体" w:hAnsi="宋体" w:cs="宋体"/>
          <w:b/>
          <w:color w:val="000000" w:themeColor="text1"/>
          <w:sz w:val="40"/>
          <w:szCs w:val="40"/>
          <w:highlight w:val="none"/>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highlight w:val="none"/>
          <w:u w:val="none"/>
          <w14:textFill>
            <w14:solidFill>
              <w14:schemeClr w14:val="tx1"/>
            </w14:solidFill>
          </w14:textFill>
        </w:rPr>
        <w:fldChar w:fldCharType="separate"/>
      </w:r>
      <w:r>
        <w:rPr>
          <w:rStyle w:val="37"/>
          <w:rFonts w:hint="eastAsia" w:ascii="宋体" w:hAnsi="宋体" w:cs="宋体"/>
          <w:b/>
          <w:color w:val="000000" w:themeColor="text1"/>
          <w:sz w:val="40"/>
          <w:szCs w:val="40"/>
          <w:highlight w:val="none"/>
          <w:u w:val="none"/>
          <w14:textFill>
            <w14:solidFill>
              <w14:schemeClr w14:val="tx1"/>
            </w14:solidFill>
          </w14:textFill>
        </w:rPr>
        <w:t>采购项目</w:t>
      </w:r>
      <w:r>
        <w:rPr>
          <w:rFonts w:hint="eastAsia" w:ascii="宋体" w:hAnsi="宋体" w:cs="宋体"/>
          <w:b/>
          <w:color w:val="000000" w:themeColor="text1"/>
          <w:sz w:val="40"/>
          <w:szCs w:val="40"/>
          <w:highlight w:val="none"/>
          <w:u w:val="none"/>
          <w14:textFill>
            <w14:solidFill>
              <w14:schemeClr w14:val="tx1"/>
            </w14:solidFill>
          </w14:textFill>
        </w:rPr>
        <w:fldChar w:fldCharType="end"/>
      </w:r>
    </w:p>
    <w:p w14:paraId="3D87F643">
      <w:pPr>
        <w:ind w:firstLine="803" w:firstLineChars="200"/>
        <w:jc w:val="center"/>
        <w:rPr>
          <w:rFonts w:ascii="宋体" w:hAnsi="宋体" w:cs="宋体"/>
          <w:b/>
          <w:sz w:val="40"/>
          <w:szCs w:val="40"/>
          <w:highlight w:val="none"/>
        </w:rPr>
      </w:pPr>
    </w:p>
    <w:p w14:paraId="3AF4C00E">
      <w:pPr>
        <w:jc w:val="center"/>
        <w:rPr>
          <w:rFonts w:ascii="宋体" w:hAnsi="宋体" w:cs="宋体"/>
          <w:b/>
          <w:sz w:val="40"/>
          <w:szCs w:val="40"/>
          <w:highlight w:val="none"/>
        </w:rPr>
      </w:pPr>
    </w:p>
    <w:p w14:paraId="74235736">
      <w:pPr>
        <w:pStyle w:val="29"/>
        <w:rPr>
          <w:highlight w:val="none"/>
        </w:rPr>
      </w:pPr>
    </w:p>
    <w:p w14:paraId="6D068E7F">
      <w:pPr>
        <w:widowControl/>
        <w:spacing w:line="360" w:lineRule="auto"/>
        <w:jc w:val="center"/>
        <w:outlineLvl w:val="0"/>
        <w:rPr>
          <w:b/>
          <w:sz w:val="52"/>
          <w:szCs w:val="52"/>
          <w:highlight w:val="none"/>
        </w:rPr>
      </w:pPr>
    </w:p>
    <w:p w14:paraId="58E14213">
      <w:pPr>
        <w:widowControl/>
        <w:spacing w:line="360" w:lineRule="auto"/>
        <w:jc w:val="center"/>
        <w:outlineLvl w:val="0"/>
        <w:rPr>
          <w:b/>
          <w:sz w:val="52"/>
          <w:szCs w:val="52"/>
          <w:highlight w:val="none"/>
        </w:rPr>
      </w:pPr>
    </w:p>
    <w:p w14:paraId="1519DCE8">
      <w:pPr>
        <w:jc w:val="center"/>
        <w:rPr>
          <w:rFonts w:ascii="宋体" w:hAnsi="宋体" w:cs="宋体"/>
          <w:b/>
          <w:sz w:val="84"/>
          <w:highlight w:val="none"/>
        </w:rPr>
      </w:pPr>
      <w:r>
        <w:rPr>
          <w:rFonts w:hint="eastAsia" w:ascii="宋体" w:hAnsi="宋体" w:cs="宋体"/>
          <w:b/>
          <w:sz w:val="84"/>
          <w:highlight w:val="none"/>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2024</w:t>
      </w:r>
      <w:r>
        <w:rPr>
          <w:rFonts w:hint="eastAsia" w:ascii="宋体" w:hAnsi="宋体" w:cs="宋体"/>
          <w:b/>
          <w:sz w:val="32"/>
          <w:highlight w:val="none"/>
        </w:rPr>
        <w:t>-</w:t>
      </w:r>
      <w:r>
        <w:rPr>
          <w:rFonts w:hint="eastAsia" w:ascii="宋体" w:hAnsi="宋体" w:cs="宋体"/>
          <w:b/>
          <w:sz w:val="32"/>
          <w:highlight w:val="none"/>
          <w:lang w:val="en-US" w:eastAsia="zh-CN"/>
        </w:rPr>
        <w:t>128</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2024</w:t>
      </w:r>
      <w:r>
        <w:rPr>
          <w:rFonts w:hint="eastAsia" w:ascii="宋体" w:hAnsi="宋体" w:cs="宋体"/>
          <w:b/>
          <w:sz w:val="30"/>
          <w:szCs w:val="30"/>
          <w:highlight w:val="none"/>
        </w:rPr>
        <w:t>年</w:t>
      </w:r>
      <w:r>
        <w:rPr>
          <w:rFonts w:hint="eastAsia" w:ascii="宋体" w:hAnsi="宋体" w:cs="宋体"/>
          <w:b/>
          <w:sz w:val="32"/>
          <w:highlight w:val="none"/>
          <w:lang w:val="en-US" w:eastAsia="zh-CN"/>
        </w:rPr>
        <w:t>12</w:t>
      </w:r>
      <w:r>
        <w:rPr>
          <w:rFonts w:hint="eastAsia" w:ascii="宋体" w:hAnsi="宋体" w:cs="宋体"/>
          <w:b/>
          <w:sz w:val="30"/>
          <w:szCs w:val="30"/>
          <w:highlight w:val="none"/>
        </w:rPr>
        <w:t>月</w:t>
      </w:r>
    </w:p>
    <w:p w14:paraId="598CC2B9">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有创呼吸机采购项目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河南省胸科医院有创呼吸机采购项目</w:t>
      </w:r>
      <w:r>
        <w:rPr>
          <w:rFonts w:hint="default" w:asciiTheme="minorEastAsia" w:hAnsiTheme="minorEastAsia" w:eastAsiaTheme="minorEastAsia" w:cstheme="minorEastAsia"/>
          <w:color w:val="333333"/>
          <w:sz w:val="24"/>
          <w:szCs w:val="24"/>
          <w:highlight w:val="none"/>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有创呼吸机</w:t>
      </w:r>
      <w:r>
        <w:rPr>
          <w:rFonts w:hint="default" w:asciiTheme="minorEastAsia" w:hAnsiTheme="minorEastAsia" w:eastAsiaTheme="minorEastAsia" w:cstheme="minorEastAsia"/>
          <w:color w:val="333333"/>
          <w:sz w:val="24"/>
          <w:szCs w:val="24"/>
          <w:highlight w:val="none"/>
        </w:rPr>
        <w:t>1台。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35</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 xml:space="preserve">监督部门及电话：河南省胸科医院监察室65662810、65662967 </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FD955D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b/>
                <w:bCs/>
                <w:color w:val="FF0000"/>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16A0636C">
      <w:pPr>
        <w:spacing w:line="360" w:lineRule="auto"/>
        <w:jc w:val="center"/>
        <w:rPr>
          <w:rFonts w:cs="宋体" w:asciiTheme="minorEastAsia" w:hAnsiTheme="minorEastAsia"/>
          <w:b/>
          <w:sz w:val="30"/>
          <w:szCs w:val="30"/>
          <w:lang w:bidi="ar"/>
        </w:rPr>
      </w:pPr>
    </w:p>
    <w:p w14:paraId="6CA21EBE">
      <w:pPr>
        <w:spacing w:line="240" w:lineRule="auto"/>
        <w:rPr>
          <w:rFonts w:hint="eastAsia" w:eastAsia="宋体"/>
          <w:color w:val="auto"/>
          <w:sz w:val="24"/>
          <w:lang w:eastAsia="zh-CN"/>
        </w:rPr>
      </w:pPr>
      <w:r>
        <w:rPr>
          <w:rFonts w:hint="eastAsia" w:ascii="宋体" w:hAnsi="宋体" w:cs="宋体"/>
          <w:b/>
          <w:bCs/>
          <w:color w:val="auto"/>
          <w:sz w:val="24"/>
        </w:rPr>
        <w:t>一、技术</w:t>
      </w:r>
      <w:r>
        <w:rPr>
          <w:rFonts w:hint="eastAsia" w:ascii="宋体" w:hAnsi="宋体" w:cs="宋体"/>
          <w:b/>
          <w:bCs/>
          <w:color w:val="auto"/>
          <w:sz w:val="24"/>
          <w:lang w:val="en-US" w:eastAsia="zh-CN"/>
        </w:rPr>
        <w:t>要求</w:t>
      </w:r>
    </w:p>
    <w:p w14:paraId="565F38C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数量：1台；</w:t>
      </w:r>
      <w:r>
        <w:rPr>
          <w:rFonts w:hint="eastAsia" w:ascii="宋体" w:hAnsi="宋体" w:eastAsia="宋体" w:cs="宋体"/>
          <w:color w:val="auto"/>
          <w:sz w:val="24"/>
          <w:szCs w:val="24"/>
          <w:lang w:val="en-US" w:eastAsia="zh-CN"/>
        </w:rPr>
        <w:t>适用于成人、儿童</w:t>
      </w:r>
      <w:r>
        <w:rPr>
          <w:rFonts w:hint="eastAsia" w:ascii="宋体" w:hAnsi="宋体" w:cs="宋体"/>
          <w:color w:val="auto"/>
          <w:sz w:val="24"/>
          <w:szCs w:val="24"/>
          <w:lang w:val="en-US" w:eastAsia="zh-CN"/>
        </w:rPr>
        <w:t>；</w:t>
      </w:r>
    </w:p>
    <w:p w14:paraId="704C908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中央供气，非涡轮机，内置后备电池≥1小时</w:t>
      </w:r>
      <w:r>
        <w:rPr>
          <w:rFonts w:hint="eastAsia" w:ascii="宋体" w:hAnsi="宋体" w:cs="宋体"/>
          <w:color w:val="auto"/>
          <w:sz w:val="24"/>
          <w:szCs w:val="24"/>
          <w:lang w:val="en-US" w:eastAsia="zh-CN"/>
        </w:rPr>
        <w:t>；</w:t>
      </w:r>
    </w:p>
    <w:p w14:paraId="690DAB8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≥14英寸TFT原装彩色触摸屏幕，中文操作界面，用户可自行设置屏幕排版格式</w:t>
      </w:r>
      <w:r>
        <w:rPr>
          <w:rFonts w:hint="eastAsia" w:ascii="宋体" w:hAnsi="宋体" w:cs="宋体"/>
          <w:color w:val="auto"/>
          <w:sz w:val="24"/>
          <w:szCs w:val="24"/>
          <w:lang w:val="en-US" w:eastAsia="zh-CN"/>
        </w:rPr>
        <w:t>；</w:t>
      </w:r>
    </w:p>
    <w:p w14:paraId="117D959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外置近心端流量传感器，可拆卸高温高压消毒</w:t>
      </w:r>
      <w:r>
        <w:rPr>
          <w:rFonts w:hint="eastAsia" w:ascii="宋体" w:hAnsi="宋体" w:cs="宋体"/>
          <w:b w:val="0"/>
          <w:bCs w:val="0"/>
          <w:color w:val="auto"/>
          <w:sz w:val="24"/>
          <w:szCs w:val="24"/>
          <w:lang w:val="en-US" w:eastAsia="zh-CN"/>
        </w:rPr>
        <w:t>；</w:t>
      </w:r>
    </w:p>
    <w:p w14:paraId="68761DE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通气模式：容量型辅助/控制通气、容量型同步间歇指令通气、压力型辅助/控制通气、压力型同步间歇指令通气、持续气道正压通气</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双相气道正压通气</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气道压力释放通气</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无创通气</w:t>
      </w:r>
      <w:r>
        <w:rPr>
          <w:rFonts w:hint="eastAsia" w:ascii="宋体" w:hAnsi="宋体" w:cs="宋体"/>
          <w:color w:val="auto"/>
          <w:sz w:val="24"/>
          <w:szCs w:val="24"/>
          <w:lang w:val="en-US" w:eastAsia="zh-CN"/>
        </w:rPr>
        <w:t>等；</w:t>
      </w:r>
    </w:p>
    <w:p w14:paraId="5739977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先进智能通气模式：NAVA或ASV或者Smartcare</w:t>
      </w:r>
      <w:r>
        <w:rPr>
          <w:rFonts w:hint="eastAsia" w:ascii="宋体" w:hAnsi="宋体" w:cs="宋体"/>
          <w:b w:val="0"/>
          <w:bCs w:val="0"/>
          <w:color w:val="auto"/>
          <w:sz w:val="24"/>
          <w:szCs w:val="24"/>
          <w:lang w:val="en-US" w:eastAsia="zh-CN"/>
        </w:rPr>
        <w:t>；</w:t>
      </w:r>
    </w:p>
    <w:p w14:paraId="346C50E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辅助压力输入</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可输入额外的压力监测, 比如食道压、隆突压</w:t>
      </w:r>
      <w:r>
        <w:rPr>
          <w:rFonts w:hint="eastAsia" w:ascii="宋体" w:hAnsi="宋体" w:cs="宋体"/>
          <w:b w:val="0"/>
          <w:bCs w:val="0"/>
          <w:color w:val="auto"/>
          <w:sz w:val="24"/>
          <w:szCs w:val="24"/>
          <w:lang w:val="en-US" w:eastAsia="zh-CN"/>
        </w:rPr>
        <w:t>等；</w:t>
      </w:r>
    </w:p>
    <w:p w14:paraId="7B77DF8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频率：1-140次/分</w:t>
      </w:r>
    </w:p>
    <w:p w14:paraId="498D036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潮气量：25ml-2000ml</w:t>
      </w:r>
    </w:p>
    <w:p w14:paraId="4DECD1E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PEEP：0-40cmH2O</w:t>
      </w:r>
    </w:p>
    <w:p w14:paraId="0A8BE80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氧浓度：21-100%</w:t>
      </w:r>
    </w:p>
    <w:p w14:paraId="6627E19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吸呼比：1:9-4:1</w:t>
      </w:r>
    </w:p>
    <w:p w14:paraId="24B3B1D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窒息时间：15-60s</w:t>
      </w:r>
    </w:p>
    <w:p w14:paraId="163209D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14.</w:t>
      </w:r>
      <w:r>
        <w:rPr>
          <w:rFonts w:hint="eastAsia" w:ascii="宋体" w:hAnsi="宋体" w:eastAsia="宋体" w:cs="宋体"/>
          <w:b w:val="0"/>
          <w:bCs w:val="0"/>
          <w:color w:val="auto"/>
          <w:sz w:val="24"/>
          <w:szCs w:val="24"/>
          <w:lang w:val="en-US" w:eastAsia="zh-CN"/>
        </w:rPr>
        <w:t>动态肺功能：以动态图形的形式显现气道阻力</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肺顺应性和自主呼吸</w:t>
      </w:r>
      <w:r>
        <w:rPr>
          <w:rFonts w:hint="eastAsia" w:ascii="宋体" w:hAnsi="宋体" w:cs="宋体"/>
          <w:b w:val="0"/>
          <w:bCs w:val="0"/>
          <w:color w:val="auto"/>
          <w:sz w:val="24"/>
          <w:szCs w:val="24"/>
          <w:lang w:val="en-US" w:eastAsia="zh-CN"/>
        </w:rPr>
        <w:t>等；</w:t>
      </w:r>
    </w:p>
    <w:p w14:paraId="5F13BA1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P/V工具,可用于评估肺复张和进行肺复张的病人，并实施肺复张</w:t>
      </w:r>
      <w:r>
        <w:rPr>
          <w:rFonts w:hint="eastAsia" w:ascii="宋体" w:hAnsi="宋体" w:cs="宋体"/>
          <w:b w:val="0"/>
          <w:bCs w:val="0"/>
          <w:color w:val="auto"/>
          <w:sz w:val="24"/>
          <w:szCs w:val="24"/>
          <w:lang w:val="en-US" w:eastAsia="zh-CN"/>
        </w:rPr>
        <w:t>；</w:t>
      </w:r>
    </w:p>
    <w:p w14:paraId="07B4505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16.具备</w:t>
      </w:r>
      <w:r>
        <w:rPr>
          <w:rFonts w:hint="eastAsia" w:ascii="宋体" w:hAnsi="宋体" w:eastAsia="宋体" w:cs="宋体"/>
          <w:b w:val="0"/>
          <w:bCs w:val="0"/>
          <w:color w:val="auto"/>
          <w:sz w:val="24"/>
          <w:szCs w:val="24"/>
          <w:lang w:val="en-US" w:eastAsia="zh-CN"/>
        </w:rPr>
        <w:t>脱机指示窗：将脱机相关参数组合后，以图形的形式显示出来的智能脱机指示工具</w:t>
      </w:r>
      <w:r>
        <w:rPr>
          <w:rFonts w:hint="eastAsia" w:ascii="宋体" w:hAnsi="宋体" w:cs="宋体"/>
          <w:b w:val="0"/>
          <w:bCs w:val="0"/>
          <w:color w:val="auto"/>
          <w:sz w:val="24"/>
          <w:szCs w:val="24"/>
          <w:lang w:val="en-US" w:eastAsia="zh-CN"/>
        </w:rPr>
        <w:t>；</w:t>
      </w:r>
    </w:p>
    <w:p w14:paraId="7978310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r>
        <w:rPr>
          <w:rFonts w:hint="eastAsia" w:ascii="宋体" w:hAnsi="宋体" w:eastAsia="宋体" w:cs="宋体"/>
          <w:color w:val="auto"/>
          <w:sz w:val="24"/>
          <w:szCs w:val="24"/>
          <w:lang w:val="en-US" w:eastAsia="zh-CN"/>
        </w:rPr>
        <w:t>一体化同步气动压缩雾化功能，非超声，雾化过程</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呼吸机呼气肢不能与主机分离</w:t>
      </w:r>
      <w:r>
        <w:rPr>
          <w:rFonts w:hint="eastAsia" w:ascii="宋体" w:hAnsi="宋体" w:cs="宋体"/>
          <w:color w:val="auto"/>
          <w:sz w:val="24"/>
          <w:szCs w:val="24"/>
          <w:lang w:val="en-US" w:eastAsia="zh-CN"/>
        </w:rPr>
        <w:t>；</w:t>
      </w:r>
    </w:p>
    <w:p w14:paraId="06B2863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肺功能参数:吸气阻力</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静态顺应性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呼气时间常数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呼吸做功</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压力时间乘积</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浅快呼吸指数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P0.1</w:t>
      </w:r>
      <w:r>
        <w:rPr>
          <w:rFonts w:hint="eastAsia" w:ascii="宋体" w:hAnsi="宋体" w:cs="宋体"/>
          <w:color w:val="auto"/>
          <w:sz w:val="24"/>
          <w:szCs w:val="24"/>
          <w:lang w:val="en-US" w:eastAsia="zh-CN"/>
        </w:rPr>
        <w:t>等；</w:t>
      </w:r>
    </w:p>
    <w:p w14:paraId="651D5F0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val="en-US" w:eastAsia="zh-CN"/>
        </w:rPr>
        <w:t>流速波形：正旋波</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方波</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100%递减波</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50%递减波</w:t>
      </w:r>
      <w:r>
        <w:rPr>
          <w:rFonts w:hint="eastAsia" w:ascii="宋体" w:hAnsi="宋体" w:cs="宋体"/>
          <w:color w:val="auto"/>
          <w:sz w:val="24"/>
          <w:szCs w:val="24"/>
          <w:lang w:val="en-US" w:eastAsia="zh-CN"/>
        </w:rPr>
        <w:t>等；</w:t>
      </w:r>
    </w:p>
    <w:p w14:paraId="28E03DD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可同时显示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3个趋势图</w:t>
      </w:r>
      <w:r>
        <w:rPr>
          <w:rFonts w:hint="eastAsia" w:ascii="宋体" w:hAnsi="宋体" w:cs="宋体"/>
          <w:color w:val="auto"/>
          <w:sz w:val="24"/>
          <w:szCs w:val="24"/>
          <w:lang w:val="en-US" w:eastAsia="zh-CN"/>
        </w:rPr>
        <w:t>；</w:t>
      </w:r>
    </w:p>
    <w:p w14:paraId="4100729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报警参数：低/高潮气量报警、低/高呼吸频率报警、低/高吸入氧浓度报警、低/高分钟通气量报警、低/高气道压力报警、窒息时间报警、管路脱落报警、PEEP丢失报警、呼气端阻塞报警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压力限制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流速传感器</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气体供应</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电源</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电池电量低</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呼气口阻塞</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技术报警等</w:t>
      </w:r>
      <w:r>
        <w:rPr>
          <w:rFonts w:hint="eastAsia" w:ascii="宋体" w:hAnsi="宋体" w:cs="宋体"/>
          <w:color w:val="auto"/>
          <w:sz w:val="24"/>
          <w:szCs w:val="24"/>
          <w:lang w:val="en-US" w:eastAsia="zh-CN"/>
        </w:rPr>
        <w:t>；</w:t>
      </w:r>
    </w:p>
    <w:p w14:paraId="7F8EDEE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特殊功能：手动呼吸、富氧、吸痰工具、叹气、窒息后备通气、插管阻力补偿（TRC）、待机、屏幕打印、屏幕锁定，VGA屏幕投影</w:t>
      </w:r>
      <w:r>
        <w:rPr>
          <w:rFonts w:hint="eastAsia" w:ascii="宋体" w:hAnsi="宋体" w:cs="宋体"/>
          <w:color w:val="auto"/>
          <w:sz w:val="24"/>
          <w:szCs w:val="24"/>
          <w:lang w:val="en-US" w:eastAsia="zh-CN"/>
        </w:rPr>
        <w:t>等；</w:t>
      </w:r>
    </w:p>
    <w:p w14:paraId="1F84C892">
      <w:pPr>
        <w:pStyle w:val="158"/>
        <w:spacing w:line="24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23.主要配置清单</w:t>
      </w:r>
    </w:p>
    <w:p w14:paraId="59A65930">
      <w:pPr>
        <w:pStyle w:val="158"/>
        <w:spacing w:line="240" w:lineRule="auto"/>
        <w:rPr>
          <w:rFonts w:hint="default" w:ascii="宋体" w:hAnsi="宋体" w:cs="宋体"/>
          <w:color w:val="auto"/>
          <w:sz w:val="24"/>
          <w:szCs w:val="24"/>
          <w:lang w:val="en-US" w:eastAsia="zh-CN"/>
        </w:rPr>
      </w:pPr>
    </w:p>
    <w:tbl>
      <w:tblPr>
        <w:tblStyle w:val="32"/>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2905"/>
      </w:tblGrid>
      <w:tr w14:paraId="5ABE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98" w:type="dxa"/>
            <w:noWrap w:val="0"/>
            <w:vAlign w:val="center"/>
          </w:tcPr>
          <w:p w14:paraId="196ADDBC">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名称</w:t>
            </w:r>
          </w:p>
        </w:tc>
        <w:tc>
          <w:tcPr>
            <w:tcW w:w="2905" w:type="dxa"/>
            <w:noWrap w:val="0"/>
            <w:vAlign w:val="center"/>
          </w:tcPr>
          <w:p w14:paraId="567594C6">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r>
      <w:tr w14:paraId="4EFE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98" w:type="dxa"/>
            <w:noWrap w:val="0"/>
            <w:vAlign w:val="center"/>
          </w:tcPr>
          <w:p w14:paraId="5394F509">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主机</w:t>
            </w:r>
          </w:p>
        </w:tc>
        <w:tc>
          <w:tcPr>
            <w:tcW w:w="2905" w:type="dxa"/>
            <w:noWrap w:val="0"/>
            <w:vAlign w:val="center"/>
          </w:tcPr>
          <w:p w14:paraId="38D3E2B9">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w:t>
            </w:r>
          </w:p>
        </w:tc>
      </w:tr>
      <w:tr w14:paraId="70D6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98" w:type="dxa"/>
            <w:noWrap w:val="0"/>
            <w:vAlign w:val="center"/>
          </w:tcPr>
          <w:p w14:paraId="3FE84651">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台车</w:t>
            </w:r>
          </w:p>
        </w:tc>
        <w:tc>
          <w:tcPr>
            <w:tcW w:w="2905" w:type="dxa"/>
            <w:noWrap w:val="0"/>
            <w:vAlign w:val="center"/>
          </w:tcPr>
          <w:p w14:paraId="504C1313">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1辆</w:t>
            </w:r>
          </w:p>
        </w:tc>
      </w:tr>
      <w:tr w14:paraId="4DA7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98" w:type="dxa"/>
            <w:noWrap w:val="0"/>
            <w:vAlign w:val="center"/>
          </w:tcPr>
          <w:p w14:paraId="717DA245">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湿化器</w:t>
            </w:r>
          </w:p>
        </w:tc>
        <w:tc>
          <w:tcPr>
            <w:tcW w:w="2905" w:type="dxa"/>
            <w:noWrap w:val="0"/>
            <w:vAlign w:val="center"/>
          </w:tcPr>
          <w:p w14:paraId="53E71A0C">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1个</w:t>
            </w:r>
          </w:p>
        </w:tc>
      </w:tr>
      <w:tr w14:paraId="0884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98" w:type="dxa"/>
            <w:noWrap w:val="0"/>
            <w:vAlign w:val="center"/>
          </w:tcPr>
          <w:p w14:paraId="7A17A043">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呼吸管路</w:t>
            </w:r>
          </w:p>
        </w:tc>
        <w:tc>
          <w:tcPr>
            <w:tcW w:w="2905" w:type="dxa"/>
            <w:noWrap w:val="0"/>
            <w:vAlign w:val="center"/>
          </w:tcPr>
          <w:p w14:paraId="7647BFDE">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r>
      <w:tr w14:paraId="77CC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98" w:type="dxa"/>
            <w:noWrap w:val="0"/>
            <w:vAlign w:val="center"/>
          </w:tcPr>
          <w:p w14:paraId="4A33169E">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吊臂</w:t>
            </w:r>
          </w:p>
        </w:tc>
        <w:tc>
          <w:tcPr>
            <w:tcW w:w="2905" w:type="dxa"/>
            <w:noWrap w:val="0"/>
            <w:vAlign w:val="center"/>
          </w:tcPr>
          <w:p w14:paraId="198CDBAF">
            <w:pPr>
              <w:keepNext w:val="0"/>
              <w:keepLines w:val="0"/>
              <w:pageBreakBefore w:val="0"/>
              <w:widowControl w:val="0"/>
              <w:kinsoku/>
              <w:wordWrap/>
              <w:overflowPunct/>
              <w:topLinePunct w:val="0"/>
              <w:autoSpaceDE/>
              <w:autoSpaceDN/>
              <w:bidi w:val="0"/>
              <w:adjustRightInd/>
              <w:snapToGrid w:val="0"/>
              <w:spacing w:before="100" w:after="10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套</w:t>
            </w:r>
          </w:p>
        </w:tc>
      </w:tr>
    </w:tbl>
    <w:p w14:paraId="00BE88CA">
      <w:pPr>
        <w:spacing w:line="240" w:lineRule="auto"/>
        <w:rPr>
          <w:rFonts w:hint="eastAsia" w:ascii="宋体" w:hAnsi="宋体"/>
          <w:b/>
          <w:bCs/>
          <w:color w:val="auto"/>
          <w:sz w:val="24"/>
        </w:rPr>
      </w:pPr>
    </w:p>
    <w:p w14:paraId="7CC77077">
      <w:pPr>
        <w:spacing w:line="360" w:lineRule="auto"/>
        <w:rPr>
          <w:rFonts w:hint="eastAsia" w:ascii="宋体" w:hAnsi="宋体"/>
          <w:b/>
          <w:bCs/>
          <w:color w:val="auto"/>
          <w:sz w:val="24"/>
        </w:rPr>
      </w:pPr>
    </w:p>
    <w:p w14:paraId="7C54460C">
      <w:pPr>
        <w:spacing w:line="360" w:lineRule="auto"/>
        <w:rPr>
          <w:rFonts w:ascii="宋体" w:hAnsi="宋体"/>
          <w:color w:val="auto"/>
          <w:sz w:val="24"/>
        </w:rPr>
      </w:pPr>
      <w:r>
        <w:rPr>
          <w:rFonts w:hint="eastAsia" w:ascii="宋体" w:hAnsi="宋体"/>
          <w:b/>
          <w:bCs/>
          <w:color w:val="auto"/>
          <w:sz w:val="24"/>
        </w:rPr>
        <w:t>二、商务要求</w:t>
      </w:r>
      <w:r>
        <w:rPr>
          <w:rFonts w:hint="eastAsia" w:ascii="宋体" w:hAnsi="宋体" w:cs="宋体"/>
          <w:color w:val="auto"/>
          <w:sz w:val="24"/>
        </w:rPr>
        <w:t xml:space="preserve"> </w:t>
      </w:r>
    </w:p>
    <w:p w14:paraId="1652F0B6">
      <w:pPr>
        <w:spacing w:line="360" w:lineRule="auto"/>
        <w:rPr>
          <w:rFonts w:ascii="宋体" w:hAnsi="宋体" w:cs="宋体"/>
          <w:color w:val="auto"/>
          <w:sz w:val="24"/>
        </w:rPr>
      </w:pPr>
      <w:r>
        <w:rPr>
          <w:rFonts w:hint="eastAsia" w:ascii="宋体" w:hAnsi="宋体" w:cs="宋体"/>
          <w:color w:val="auto"/>
          <w:sz w:val="24"/>
        </w:rPr>
        <w:t>1.特定资格要求：</w:t>
      </w:r>
    </w:p>
    <w:p w14:paraId="34B8E761">
      <w:pPr>
        <w:spacing w:line="360" w:lineRule="auto"/>
        <w:ind w:firstLine="240" w:firstLineChars="100"/>
        <w:rPr>
          <w:rFonts w:ascii="宋体" w:hAnsi="宋体" w:cs="宋体"/>
          <w:color w:val="auto"/>
          <w:sz w:val="24"/>
        </w:rPr>
      </w:pPr>
      <w:r>
        <w:rPr>
          <w:rFonts w:hint="eastAsia" w:ascii="宋体" w:hAnsi="宋体" w:cs="宋体"/>
          <w:color w:val="auto"/>
          <w:sz w:val="24"/>
        </w:rPr>
        <w:t>1.1 响应产品须具有医疗器械产品注册证或医疗器械产品备案凭证；</w:t>
      </w:r>
    </w:p>
    <w:p w14:paraId="4680423F">
      <w:pPr>
        <w:spacing w:line="360" w:lineRule="auto"/>
        <w:ind w:firstLine="240" w:firstLineChars="100"/>
        <w:rPr>
          <w:rFonts w:ascii="宋体" w:hAnsi="宋体" w:cs="宋体"/>
          <w:color w:val="auto"/>
          <w:sz w:val="24"/>
        </w:rPr>
      </w:pPr>
      <w:r>
        <w:rPr>
          <w:rFonts w:hint="eastAsia" w:ascii="宋体" w:hAnsi="宋体" w:cs="宋体"/>
          <w:color w:val="auto"/>
          <w:sz w:val="24"/>
        </w:rPr>
        <w:t>1.2 供应商如为生产厂家须具有相适应的生产资格（医疗器械生产许可证或医疗器械生产备案凭证）；如为代理商（经销商）须具有相应的经营资格（医疗器械经营许可证或医疗器械经营备案凭证）。</w:t>
      </w:r>
    </w:p>
    <w:p w14:paraId="0CBB0F31">
      <w:pPr>
        <w:spacing w:line="360" w:lineRule="auto"/>
        <w:rPr>
          <w:rFonts w:ascii="宋体" w:hAnsi="宋体" w:cs="宋体"/>
          <w:b/>
          <w:bCs/>
          <w:color w:val="auto"/>
          <w:sz w:val="24"/>
        </w:rPr>
      </w:pPr>
      <w:r>
        <w:rPr>
          <w:rFonts w:hint="eastAsia" w:ascii="宋体" w:hAnsi="宋体" w:cs="宋体"/>
          <w:color w:val="auto"/>
          <w:sz w:val="24"/>
        </w:rPr>
        <w:t>2.交货期：合同签订后</w:t>
      </w:r>
      <w:r>
        <w:rPr>
          <w:rFonts w:hint="eastAsia" w:ascii="宋体" w:hAnsi="宋体" w:cs="宋体"/>
          <w:b/>
          <w:bCs/>
          <w:color w:val="auto"/>
          <w:sz w:val="24"/>
          <w:lang w:val="en-US" w:eastAsia="zh-CN"/>
        </w:rPr>
        <w:t>30</w:t>
      </w:r>
      <w:r>
        <w:rPr>
          <w:rFonts w:hint="eastAsia" w:ascii="宋体" w:hAnsi="宋体" w:cs="宋体"/>
          <w:b/>
          <w:bCs/>
          <w:color w:val="auto"/>
          <w:sz w:val="24"/>
        </w:rPr>
        <w:t>日历天</w:t>
      </w:r>
    </w:p>
    <w:p w14:paraId="6F785A13">
      <w:pPr>
        <w:spacing w:line="360" w:lineRule="auto"/>
        <w:rPr>
          <w:rFonts w:hint="eastAsia" w:ascii="宋体" w:hAnsi="宋体" w:cs="宋体" w:eastAsiaTheme="minorEastAsia"/>
          <w:color w:val="auto"/>
          <w:sz w:val="24"/>
          <w:lang w:val="en-US" w:eastAsia="zh-CN"/>
        </w:rPr>
      </w:pPr>
      <w:r>
        <w:rPr>
          <w:rFonts w:hint="eastAsia" w:ascii="宋体" w:hAnsi="宋体" w:cs="宋体"/>
          <w:bCs/>
          <w:color w:val="auto"/>
          <w:sz w:val="24"/>
        </w:rPr>
        <w:t>3.是否接受进口产品</w:t>
      </w:r>
      <w:r>
        <w:rPr>
          <w:rFonts w:hint="eastAsia" w:ascii="宋体" w:hAnsi="宋体" w:cs="宋体"/>
          <w:b/>
          <w:bCs/>
          <w:color w:val="auto"/>
          <w:sz w:val="24"/>
        </w:rPr>
        <w:t>：</w:t>
      </w:r>
      <w:r>
        <w:rPr>
          <w:rFonts w:hint="eastAsia" w:ascii="宋体" w:hAnsi="宋体" w:cs="宋体"/>
          <w:b/>
          <w:bCs/>
          <w:color w:val="auto"/>
          <w:sz w:val="24"/>
          <w:lang w:val="en-US" w:eastAsia="zh-CN"/>
        </w:rPr>
        <w:t>是</w:t>
      </w:r>
    </w:p>
    <w:p w14:paraId="2D9B2B23">
      <w:pPr>
        <w:spacing w:line="360" w:lineRule="auto"/>
        <w:rPr>
          <w:rFonts w:ascii="宋体" w:hAnsi="宋体" w:cs="宋体"/>
          <w:color w:val="auto"/>
          <w:sz w:val="24"/>
        </w:rPr>
      </w:pPr>
      <w:r>
        <w:rPr>
          <w:rFonts w:hint="eastAsia" w:ascii="宋体" w:hAnsi="宋体" w:cs="宋体"/>
          <w:color w:val="auto"/>
          <w:sz w:val="24"/>
        </w:rPr>
        <w:t>4.质保期：</w:t>
      </w:r>
      <w:r>
        <w:rPr>
          <w:rFonts w:hint="eastAsia" w:ascii="宋体" w:hAnsi="宋体" w:cs="宋体"/>
          <w:b/>
          <w:bCs/>
          <w:color w:val="auto"/>
          <w:sz w:val="24"/>
        </w:rPr>
        <w:t>≥3年</w:t>
      </w:r>
      <w:r>
        <w:rPr>
          <w:rFonts w:hint="eastAsia" w:ascii="宋体" w:hAnsi="宋体" w:cs="宋体"/>
          <w:color w:val="auto"/>
          <w:sz w:val="24"/>
        </w:rPr>
        <w:t>（供应商需明确具体年数）</w:t>
      </w:r>
    </w:p>
    <w:p w14:paraId="7DA08674">
      <w:pPr>
        <w:spacing w:line="360" w:lineRule="auto"/>
        <w:rPr>
          <w:rFonts w:hint="eastAsia" w:ascii="宋体" w:hAnsi="宋体" w:cs="宋体"/>
          <w:color w:val="auto"/>
          <w:sz w:val="24"/>
        </w:rPr>
      </w:pPr>
      <w:r>
        <w:rPr>
          <w:rFonts w:hint="eastAsia" w:ascii="宋体" w:hAnsi="宋体" w:cs="宋体"/>
          <w:color w:val="auto"/>
          <w:sz w:val="24"/>
        </w:rPr>
        <w:t>5.履约保证金：无</w:t>
      </w:r>
    </w:p>
    <w:p w14:paraId="4BA4BE75">
      <w:pPr>
        <w:spacing w:line="360" w:lineRule="auto"/>
        <w:rPr>
          <w:rFonts w:hint="eastAsia" w:ascii="宋体" w:hAnsi="宋体" w:cs="宋体"/>
          <w:color w:val="auto"/>
          <w:sz w:val="24"/>
        </w:rPr>
      </w:pPr>
      <w:r>
        <w:rPr>
          <w:rFonts w:hint="eastAsia" w:ascii="宋体" w:hAnsi="宋体" w:cs="宋体"/>
          <w:color w:val="auto"/>
          <w:sz w:val="24"/>
        </w:rPr>
        <w:t>6.付款方式：</w:t>
      </w:r>
    </w:p>
    <w:p w14:paraId="737247DC">
      <w:pPr>
        <w:spacing w:line="360" w:lineRule="auto"/>
        <w:ind w:firstLine="240" w:firstLineChars="100"/>
        <w:rPr>
          <w:rFonts w:hint="eastAsia" w:ascii="宋体" w:hAnsi="宋体" w:cs="宋体"/>
          <w:color w:val="auto"/>
          <w:sz w:val="24"/>
        </w:rPr>
      </w:pPr>
      <w:r>
        <w:rPr>
          <w:rFonts w:hint="eastAsia" w:ascii="宋体" w:hAnsi="宋体" w:cs="宋体"/>
          <w:color w:val="auto"/>
          <w:sz w:val="24"/>
        </w:rPr>
        <w:t>6.1．合同签订后，设备交付，使用运行正常，验收合格之后，院方向供应商支付合同总价的</w:t>
      </w:r>
      <w:r>
        <w:rPr>
          <w:rFonts w:hint="eastAsia" w:ascii="宋体" w:hAnsi="宋体" w:cs="宋体"/>
          <w:b/>
          <w:bCs/>
          <w:color w:val="auto"/>
          <w:sz w:val="24"/>
        </w:rPr>
        <w:t>95%</w:t>
      </w:r>
      <w:r>
        <w:rPr>
          <w:rFonts w:hint="eastAsia" w:ascii="宋体" w:hAnsi="宋体" w:cs="宋体"/>
          <w:color w:val="auto"/>
          <w:sz w:val="24"/>
        </w:rPr>
        <w:t>货款。成交人在接收货款前，应向采购人开具正规发票。</w:t>
      </w:r>
    </w:p>
    <w:p w14:paraId="45BD2CFA">
      <w:pPr>
        <w:spacing w:line="360" w:lineRule="auto"/>
        <w:ind w:firstLine="240" w:firstLineChars="100"/>
        <w:rPr>
          <w:rFonts w:ascii="宋体" w:hAnsi="宋体"/>
          <w:color w:val="auto"/>
          <w:sz w:val="24"/>
        </w:rPr>
      </w:pPr>
      <w:r>
        <w:rPr>
          <w:rFonts w:hint="eastAsia" w:ascii="宋体" w:hAnsi="宋体" w:cs="宋体"/>
          <w:color w:val="auto"/>
          <w:sz w:val="24"/>
        </w:rPr>
        <w:t>6.2．余下的</w:t>
      </w:r>
      <w:r>
        <w:rPr>
          <w:rFonts w:hint="eastAsia" w:ascii="宋体" w:hAnsi="宋体" w:cs="宋体"/>
          <w:b/>
          <w:bCs/>
          <w:color w:val="auto"/>
          <w:sz w:val="24"/>
        </w:rPr>
        <w:t>5%</w:t>
      </w:r>
      <w:r>
        <w:rPr>
          <w:rFonts w:hint="eastAsia" w:ascii="宋体" w:hAnsi="宋体" w:cs="宋体"/>
          <w:color w:val="auto"/>
          <w:sz w:val="24"/>
        </w:rPr>
        <w:t>货款于质保期满后，依据投标文件，所承诺的优惠条件、售后服务计划、培训计划等执行到位后，按规定程序办理支付手续，一次性付清。</w:t>
      </w:r>
    </w:p>
    <w:p w14:paraId="6463F846">
      <w:pPr>
        <w:pStyle w:val="2"/>
        <w:spacing w:before="0" w:after="0"/>
        <w:jc w:val="center"/>
        <w:rPr>
          <w:rFonts w:hint="eastAsia" w:asciiTheme="minorEastAsia" w:hAnsiTheme="minorEastAsia"/>
          <w:color w:val="auto"/>
          <w:sz w:val="32"/>
          <w:highlight w:val="none"/>
        </w:rPr>
      </w:pPr>
      <w:bookmarkStart w:id="67" w:name="_GoBack"/>
      <w:bookmarkEnd w:id="67"/>
    </w:p>
    <w:p w14:paraId="133EEA3D">
      <w:pPr>
        <w:rPr>
          <w:rFonts w:hint="eastAsia" w:asciiTheme="minorEastAsia" w:hAnsiTheme="minorEastAsia"/>
          <w:color w:val="auto"/>
          <w:sz w:val="32"/>
          <w:highlight w:val="none"/>
        </w:rPr>
      </w:pPr>
    </w:p>
    <w:p w14:paraId="66E59111">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2479"/>
      <w:bookmarkStart w:id="7" w:name="_Toc902"/>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11890"/>
      <w:bookmarkStart w:id="13" w:name="_Toc4559"/>
      <w:bookmarkStart w:id="14" w:name="_Toc26111"/>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6682F7B5">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19319"/>
      <w:bookmarkStart w:id="16" w:name="_Toc24403"/>
      <w:bookmarkStart w:id="17" w:name="_Toc569"/>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32668"/>
      <w:bookmarkStart w:id="22" w:name="_Toc31728"/>
      <w:bookmarkStart w:id="23" w:name="_Toc8953"/>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37475887"/>
      <w:bookmarkStart w:id="38" w:name="_Toc337554757"/>
      <w:bookmarkStart w:id="39" w:name="_Toc320878673"/>
      <w:bookmarkStart w:id="40" w:name="_Toc349642274"/>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23117"/>
      <w:bookmarkStart w:id="46" w:name="_Toc11982"/>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0496"/>
      <w:bookmarkStart w:id="48" w:name="_Toc2381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4948"/>
      <w:bookmarkStart w:id="50" w:name="_Toc2922"/>
      <w:bookmarkStart w:id="51" w:name="_Toc337554798"/>
      <w:bookmarkStart w:id="52" w:name="_Toc320878714"/>
      <w:bookmarkStart w:id="53" w:name="_Toc10750"/>
      <w:bookmarkStart w:id="54" w:name="_Toc12801"/>
      <w:bookmarkStart w:id="55" w:name="_Toc304219331"/>
      <w:bookmarkStart w:id="56" w:name="_Toc29526"/>
      <w:bookmarkStart w:id="57" w:name="_Toc28583"/>
      <w:bookmarkStart w:id="58" w:name="_Toc30765"/>
      <w:bookmarkStart w:id="59" w:name="_Toc4599"/>
      <w:bookmarkStart w:id="60" w:name="_Toc349642319"/>
      <w:bookmarkStart w:id="61" w:name="_Toc337475928"/>
      <w:bookmarkStart w:id="62" w:name="_Toc15867"/>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0FD414B9"/>
    <w:rsid w:val="10107E27"/>
    <w:rsid w:val="10260301"/>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7929A6"/>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577BE4"/>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0DD17B8"/>
    <w:rsid w:val="51226ABA"/>
    <w:rsid w:val="516E0A80"/>
    <w:rsid w:val="519248BF"/>
    <w:rsid w:val="519A080C"/>
    <w:rsid w:val="51D677D1"/>
    <w:rsid w:val="5206695C"/>
    <w:rsid w:val="52BD4513"/>
    <w:rsid w:val="52D030D7"/>
    <w:rsid w:val="53030467"/>
    <w:rsid w:val="535400C6"/>
    <w:rsid w:val="53846146"/>
    <w:rsid w:val="538A526B"/>
    <w:rsid w:val="53921946"/>
    <w:rsid w:val="5397404A"/>
    <w:rsid w:val="53A74110"/>
    <w:rsid w:val="53C31BAB"/>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1D7BEB"/>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autoRedefine/>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basedOn w:val="161"/>
    <w:next w:val="161"/>
    <w:autoRedefine/>
    <w:qFormat/>
    <w:uiPriority w:val="0"/>
    <w:pPr>
      <w:widowControl/>
      <w:ind w:firstLine="482"/>
    </w:pPr>
    <w:rPr>
      <w:rFonts w:ascii="微软雅黑" w:hAnsi="微软雅黑" w:eastAsia="微软雅黑"/>
      <w:kern w:val="0"/>
      <w:szCs w:val="20"/>
      <w:lang w:val="zh-CN"/>
    </w:rPr>
  </w:style>
  <w:style w:type="paragraph" w:customStyle="1" w:styleId="16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1803</Words>
  <Characters>2068</Characters>
  <Lines>315</Lines>
  <Paragraphs>88</Paragraphs>
  <TotalTime>0</TotalTime>
  <ScaleCrop>false</ScaleCrop>
  <LinksUpToDate>false</LinksUpToDate>
  <CharactersWithSpaces>2202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2024-12-18T07:01:26Z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3DEF6668B8044F069C4200B7CD32373D_13</vt:lpwstr>
  </property>
</Properties>
</file>