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6"/>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河南省胸科医院建设地面消防储水箱项目</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highlight w:val="none"/>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2024</w:t>
      </w:r>
      <w:r>
        <w:rPr>
          <w:rFonts w:hint="eastAsia" w:ascii="宋体" w:hAnsi="宋体" w:cs="宋体"/>
          <w:b/>
          <w:sz w:val="32"/>
          <w:highlight w:val="none"/>
        </w:rPr>
        <w:t>-</w:t>
      </w:r>
      <w:r>
        <w:rPr>
          <w:rFonts w:hint="eastAsia" w:ascii="宋体" w:hAnsi="宋体" w:cs="宋体"/>
          <w:b/>
          <w:sz w:val="32"/>
          <w:highlight w:val="none"/>
          <w:lang w:val="en-US" w:eastAsia="zh-CN"/>
        </w:rPr>
        <w:t>132</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2024</w:t>
      </w:r>
      <w:r>
        <w:rPr>
          <w:rFonts w:hint="eastAsia" w:ascii="宋体" w:hAnsi="宋体" w:cs="宋体"/>
          <w:b/>
          <w:sz w:val="30"/>
          <w:szCs w:val="30"/>
          <w:highlight w:val="none"/>
        </w:rPr>
        <w:t>年</w:t>
      </w:r>
      <w:r>
        <w:rPr>
          <w:rFonts w:hint="eastAsia" w:ascii="宋体" w:hAnsi="宋体" w:cs="宋体"/>
          <w:b/>
          <w:sz w:val="32"/>
          <w:highlight w:val="none"/>
          <w:lang w:val="en-US" w:eastAsia="zh-CN"/>
        </w:rPr>
        <w:t>12</w:t>
      </w:r>
      <w:r>
        <w:rPr>
          <w:rFonts w:hint="eastAsia" w:ascii="宋体" w:hAnsi="宋体" w:cs="宋体"/>
          <w:b/>
          <w:sz w:val="30"/>
          <w:szCs w:val="30"/>
          <w:highlight w:val="none"/>
        </w:rPr>
        <w:t>月</w:t>
      </w:r>
    </w:p>
    <w:p w14:paraId="0D61CB6B">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0512B7">
      <w:pPr>
        <w:pStyle w:val="6"/>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建设地面消防储水箱项目</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60C90A59">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河南省胸科医院建设地面消防储水箱项目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建设地面消防储水箱</w:t>
      </w:r>
      <w:r>
        <w:rPr>
          <w:rFonts w:hint="default" w:asciiTheme="minorEastAsia" w:hAnsiTheme="minorEastAsia" w:eastAsiaTheme="minorEastAsia" w:cstheme="minorEastAsia"/>
          <w:color w:val="333333"/>
          <w:sz w:val="24"/>
          <w:szCs w:val="24"/>
        </w:rPr>
        <w:t>。</w:t>
      </w:r>
      <w:bookmarkStart w:id="53" w:name="_GoBack"/>
      <w:bookmarkEnd w:id="53"/>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三、项</w:t>
      </w:r>
      <w:r>
        <w:rPr>
          <w:rFonts w:hint="default" w:asciiTheme="minorEastAsia" w:hAnsiTheme="minorEastAsia" w:eastAsiaTheme="minorEastAsia" w:cstheme="minorEastAsia"/>
          <w:color w:val="333333"/>
          <w:sz w:val="24"/>
          <w:szCs w:val="24"/>
          <w:highlight w:val="none"/>
        </w:rPr>
        <w:t>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人民币62003.84元。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5B08F4C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2、</w:t>
      </w:r>
      <w:r>
        <w:rPr>
          <w:rFonts w:hint="eastAsia" w:asciiTheme="minorEastAsia" w:hAnsiTheme="minorEastAsia" w:eastAsiaTheme="minorEastAsia" w:cstheme="minorEastAsia"/>
          <w:color w:val="333333"/>
          <w:sz w:val="24"/>
          <w:szCs w:val="24"/>
        </w:rPr>
        <w:t>须具有国家建设行政主管部门颁发的建筑工程施工总承包</w:t>
      </w:r>
      <w:r>
        <w:rPr>
          <w:rFonts w:hint="eastAsia" w:asciiTheme="minorEastAsia" w:hAnsiTheme="minorEastAsia" w:eastAsiaTheme="minorEastAsia" w:cstheme="minorEastAsia"/>
          <w:color w:val="333333"/>
          <w:sz w:val="24"/>
          <w:szCs w:val="24"/>
          <w:lang w:val="en-US" w:eastAsia="zh-CN"/>
        </w:rPr>
        <w:t>三</w:t>
      </w:r>
      <w:r>
        <w:rPr>
          <w:rFonts w:hint="eastAsia" w:asciiTheme="minorEastAsia" w:hAnsiTheme="minorEastAsia" w:eastAsiaTheme="minorEastAsia" w:cstheme="minorEastAsia"/>
          <w:color w:val="333333"/>
          <w:sz w:val="24"/>
          <w:szCs w:val="24"/>
        </w:rPr>
        <w:t>级及</w:t>
      </w:r>
      <w:r>
        <w:rPr>
          <w:rFonts w:hint="eastAsia" w:asciiTheme="minorEastAsia" w:hAnsiTheme="minorEastAsia" w:eastAsiaTheme="minorEastAsia" w:cstheme="minorEastAsia"/>
          <w:color w:val="333333"/>
          <w:sz w:val="24"/>
          <w:szCs w:val="24"/>
          <w:lang w:eastAsia="zh-CN"/>
        </w:rPr>
        <w:t>三</w:t>
      </w:r>
      <w:r>
        <w:rPr>
          <w:rFonts w:hint="eastAsia" w:asciiTheme="minorEastAsia" w:hAnsiTheme="minorEastAsia" w:eastAsiaTheme="minorEastAsia" w:cstheme="minorEastAsia"/>
          <w:color w:val="333333"/>
          <w:sz w:val="24"/>
          <w:szCs w:val="24"/>
        </w:rPr>
        <w:t>级以上，或建筑装饰装修工程专业承包</w:t>
      </w:r>
      <w:r>
        <w:rPr>
          <w:rFonts w:hint="eastAsia" w:asciiTheme="minorEastAsia" w:hAnsiTheme="minorEastAsia" w:eastAsiaTheme="minorEastAsia" w:cstheme="minorEastAsia"/>
          <w:color w:val="333333"/>
          <w:sz w:val="24"/>
          <w:szCs w:val="24"/>
          <w:lang w:val="en-US" w:eastAsia="zh-CN"/>
        </w:rPr>
        <w:t>三</w:t>
      </w:r>
      <w:r>
        <w:rPr>
          <w:rFonts w:hint="eastAsia" w:asciiTheme="minorEastAsia" w:hAnsiTheme="minorEastAsia" w:eastAsiaTheme="minorEastAsia" w:cstheme="minorEastAsia"/>
          <w:color w:val="333333"/>
          <w:sz w:val="24"/>
          <w:szCs w:val="24"/>
        </w:rPr>
        <w:t>级及</w:t>
      </w:r>
      <w:r>
        <w:rPr>
          <w:rFonts w:hint="eastAsia" w:asciiTheme="minorEastAsia" w:hAnsiTheme="minorEastAsia" w:eastAsiaTheme="minorEastAsia" w:cstheme="minorEastAsia"/>
          <w:color w:val="333333"/>
          <w:sz w:val="24"/>
          <w:szCs w:val="24"/>
          <w:lang w:val="en-US" w:eastAsia="zh-CN"/>
        </w:rPr>
        <w:t>三</w:t>
      </w:r>
      <w:r>
        <w:rPr>
          <w:rFonts w:hint="eastAsia" w:asciiTheme="minorEastAsia" w:hAnsiTheme="minorEastAsia" w:eastAsiaTheme="minorEastAsia" w:cstheme="minorEastAsia"/>
          <w:color w:val="333333"/>
          <w:sz w:val="24"/>
          <w:szCs w:val="24"/>
        </w:rPr>
        <w:t>级以上资质，具有有效的安全生产许可证；</w:t>
      </w:r>
    </w:p>
    <w:p w14:paraId="37745D5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val="en-US" w:eastAsia="zh-CN"/>
        </w:rPr>
        <w:t>3、</w:t>
      </w:r>
      <w:r>
        <w:rPr>
          <w:rFonts w:hint="eastAsia" w:asciiTheme="minorEastAsia" w:hAnsiTheme="minorEastAsia" w:eastAsiaTheme="minorEastAsia" w:cstheme="minorEastAsia"/>
          <w:color w:val="333333"/>
          <w:sz w:val="24"/>
          <w:szCs w:val="24"/>
        </w:rPr>
        <w:t>拟派项目经理须具有建筑工程专业</w:t>
      </w:r>
      <w:r>
        <w:rPr>
          <w:rFonts w:hint="eastAsia" w:asciiTheme="minorEastAsia" w:hAnsiTheme="minorEastAsia" w:eastAsiaTheme="minorEastAsia" w:cstheme="minorEastAsia"/>
          <w:color w:val="333333"/>
          <w:sz w:val="24"/>
          <w:szCs w:val="24"/>
          <w:lang w:eastAsia="zh-CN"/>
        </w:rPr>
        <w:t>二</w:t>
      </w:r>
      <w:r>
        <w:rPr>
          <w:rFonts w:hint="eastAsia" w:asciiTheme="minorEastAsia" w:hAnsiTheme="minorEastAsia" w:eastAsiaTheme="minorEastAsia" w:cstheme="minorEastAsia"/>
          <w:color w:val="333333"/>
          <w:sz w:val="24"/>
          <w:szCs w:val="24"/>
        </w:rPr>
        <w:t>级及</w:t>
      </w:r>
      <w:r>
        <w:rPr>
          <w:rFonts w:hint="eastAsia" w:asciiTheme="minorEastAsia" w:hAnsiTheme="minorEastAsia" w:eastAsiaTheme="minorEastAsia" w:cstheme="minorEastAsia"/>
          <w:color w:val="333333"/>
          <w:sz w:val="24"/>
          <w:szCs w:val="24"/>
          <w:lang w:eastAsia="zh-CN"/>
        </w:rPr>
        <w:t>二</w:t>
      </w:r>
      <w:r>
        <w:rPr>
          <w:rFonts w:hint="eastAsia" w:asciiTheme="minorEastAsia" w:hAnsiTheme="minorEastAsia" w:eastAsiaTheme="minorEastAsia" w:cstheme="minorEastAsia"/>
          <w:color w:val="333333"/>
          <w:sz w:val="24"/>
          <w:szCs w:val="24"/>
        </w:rPr>
        <w:t>级以上注册建造师资格，具备有效的安全生产考核合格证书，且未担任其他在施建设工程项目</w:t>
      </w:r>
      <w:r>
        <w:rPr>
          <w:rFonts w:hint="eastAsia" w:asciiTheme="minorEastAsia" w:hAnsiTheme="minorEastAsia" w:eastAsiaTheme="minorEastAsia" w:cstheme="minorEastAsia"/>
          <w:color w:val="333333"/>
          <w:sz w:val="24"/>
          <w:szCs w:val="24"/>
          <w:lang w:eastAsia="zh-CN"/>
        </w:rPr>
        <w:t>。</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05C53AD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2EEBA07"/>
    <w:p w14:paraId="59D87986">
      <w:pPr>
        <w:rPr>
          <w:spacing w:val="7"/>
        </w:rPr>
      </w:pPr>
      <w:r>
        <w:rPr>
          <w:spacing w:val="7"/>
        </w:rPr>
        <w:br w:type="page"/>
      </w:r>
    </w:p>
    <w:p w14:paraId="60EF45F3">
      <w:pPr>
        <w:pStyle w:val="29"/>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highlight w:val="none"/>
              </w:rPr>
            </w:pPr>
            <w:r>
              <w:rPr>
                <w:rFonts w:hint="eastAsia" w:ascii="宋体" w:hAnsi="宋体"/>
                <w:sz w:val="24"/>
                <w:highlight w:val="none"/>
              </w:rPr>
              <w:t>响应文件份数：</w:t>
            </w:r>
          </w:p>
          <w:p w14:paraId="180CCF8A">
            <w:pPr>
              <w:spacing w:line="360" w:lineRule="auto"/>
              <w:ind w:firstLine="720" w:firstLineChars="300"/>
              <w:jc w:val="left"/>
              <w:rPr>
                <w:rFonts w:hint="eastAsia" w:ascii="宋体" w:hAnsi="宋体"/>
                <w:sz w:val="24"/>
                <w:highlight w:val="none"/>
              </w:rPr>
            </w:pPr>
            <w:r>
              <w:rPr>
                <w:rFonts w:hint="eastAsia" w:ascii="宋体" w:hAnsi="宋体"/>
                <w:sz w:val="24"/>
                <w:highlight w:val="none"/>
              </w:rPr>
              <w:t>纸质文件一正二副</w:t>
            </w:r>
            <w:r>
              <w:rPr>
                <w:rFonts w:hint="eastAsia" w:ascii="宋体" w:hAnsi="宋体"/>
                <w:sz w:val="24"/>
                <w:highlight w:val="none"/>
                <w:lang w:val="en-US" w:eastAsia="zh-CN"/>
              </w:rPr>
              <w:t>(</w:t>
            </w:r>
            <w:r>
              <w:rPr>
                <w:rFonts w:hint="eastAsia" w:ascii="宋体" w:hAnsi="宋体"/>
                <w:sz w:val="24"/>
                <w:highlight w:val="none"/>
                <w:lang w:eastAsia="zh-CN"/>
              </w:rPr>
              <w:t>胶装、带封皮</w:t>
            </w:r>
            <w:r>
              <w:rPr>
                <w:rFonts w:hint="eastAsia" w:ascii="宋体" w:hAnsi="宋体"/>
                <w:sz w:val="24"/>
                <w:highlight w:val="none"/>
                <w:lang w:val="en-US" w:eastAsia="zh-CN"/>
              </w:rPr>
              <w:t>)</w:t>
            </w:r>
            <w:r>
              <w:rPr>
                <w:rFonts w:hint="eastAsia" w:ascii="宋体" w:hAnsi="宋体"/>
                <w:sz w:val="24"/>
                <w:highlight w:val="none"/>
              </w:rPr>
              <w:t>,U盘拷贝电子版（带红章）</w:t>
            </w:r>
          </w:p>
          <w:p w14:paraId="755E8A7B">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rPr>
              <w:t>一份</w:t>
            </w:r>
            <w:r>
              <w:rPr>
                <w:rFonts w:hint="eastAsia" w:ascii="宋体" w:hAnsi="宋体"/>
                <w:sz w:val="24"/>
                <w:highlight w:val="none"/>
                <w:lang w:val="en-US" w:eastAsia="zh-CN"/>
              </w:rPr>
              <w:t xml:space="preserve"> </w:t>
            </w:r>
            <w:r>
              <w:rPr>
                <w:rFonts w:hint="eastAsia" w:ascii="宋体" w:hAnsi="宋体"/>
                <w:sz w:val="24"/>
                <w:highlight w:val="none"/>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highlight w:val="none"/>
                <w:lang w:eastAsia="zh-CN"/>
              </w:rPr>
            </w:pPr>
            <w:r>
              <w:rPr>
                <w:rFonts w:hint="eastAsia" w:ascii="宋体" w:hAnsi="宋体"/>
                <w:sz w:val="24"/>
                <w:highlight w:val="none"/>
                <w:lang w:val="en-US" w:eastAsia="zh-CN"/>
              </w:rPr>
              <w:t>温馨提示：电子扫描版响应</w:t>
            </w:r>
            <w:r>
              <w:rPr>
                <w:rFonts w:hint="eastAsia" w:ascii="宋体" w:hAnsi="宋体"/>
                <w:sz w:val="24"/>
                <w:highlight w:val="none"/>
                <w:lang w:eastAsia="zh-CN"/>
              </w:rPr>
              <w:t>文件命名方式为：</w:t>
            </w:r>
          </w:p>
          <w:p w14:paraId="2653A2F9">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eastAsia="zh-CN"/>
              </w:rPr>
              <w:t>项目名称</w:t>
            </w:r>
            <w:r>
              <w:rPr>
                <w:rFonts w:hint="eastAsia" w:ascii="宋体" w:hAnsi="宋体"/>
                <w:sz w:val="24"/>
                <w:highlight w:val="none"/>
                <w:lang w:val="en-US" w:eastAsia="zh-CN"/>
              </w:rPr>
              <w:t xml:space="preserve">  +  公司名称全称  +  “响应文件”</w:t>
            </w:r>
          </w:p>
          <w:p w14:paraId="2C496D15">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highlight w:val="none"/>
                <w:lang w:val="en-US" w:eastAsia="zh-CN"/>
              </w:rPr>
            </w:pPr>
            <w:r>
              <w:rPr>
                <w:rFonts w:hint="eastAsia" w:ascii="宋体" w:hAnsi="宋体"/>
                <w:sz w:val="24"/>
                <w:highlight w:val="none"/>
                <w:lang w:val="en-US" w:eastAsia="zh-CN"/>
              </w:rPr>
              <w:t>纸质响应文件可在书脊上标明项目名称、供应商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highlight w:val="none"/>
                <w:lang w:val="en-US" w:eastAsia="zh-CN"/>
              </w:rPr>
            </w:pPr>
            <w:r>
              <w:rPr>
                <w:rFonts w:hint="eastAsia" w:ascii="宋体" w:hAnsi="宋体"/>
                <w:sz w:val="24"/>
                <w:highlight w:val="none"/>
                <w:lang w:val="en-US" w:eastAsia="zh-CN"/>
              </w:rPr>
              <w:t>单位名称。</w:t>
            </w:r>
          </w:p>
          <w:p w14:paraId="4E8886AC">
            <w:pPr>
              <w:pStyle w:val="2"/>
              <w:rPr>
                <w:rFonts w:hint="eastAsia"/>
                <w:highlight w:val="none"/>
                <w:lang w:val="en-US" w:eastAsia="zh-CN"/>
              </w:rPr>
            </w:pPr>
          </w:p>
          <w:p w14:paraId="382EAF03">
            <w:pPr>
              <w:spacing w:line="360" w:lineRule="auto"/>
              <w:ind w:firstLine="240" w:firstLineChars="100"/>
              <w:jc w:val="left"/>
              <w:rPr>
                <w:rFonts w:hint="eastAsia" w:ascii="宋体" w:hAnsi="宋体"/>
                <w:sz w:val="24"/>
                <w:highlight w:val="none"/>
                <w:lang w:val="en-US" w:eastAsia="zh-CN"/>
              </w:rPr>
            </w:pPr>
          </w:p>
          <w:p w14:paraId="7CD06FE4">
            <w:pPr>
              <w:spacing w:line="360" w:lineRule="auto"/>
              <w:ind w:firstLine="240" w:firstLineChars="100"/>
              <w:jc w:val="left"/>
              <w:rPr>
                <w:rFonts w:hint="eastAsia" w:ascii="宋体" w:hAnsi="宋体"/>
                <w:sz w:val="24"/>
                <w:highlight w:val="none"/>
                <w:lang w:val="en-US" w:eastAsia="zh-CN"/>
              </w:rPr>
            </w:pPr>
          </w:p>
          <w:p w14:paraId="0A6FC458">
            <w:pPr>
              <w:pStyle w:val="2"/>
              <w:rPr>
                <w:rFonts w:hint="eastAsia"/>
                <w:highlight w:val="none"/>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none"/>
                <w:lang w:val="en-US"/>
              </w:rPr>
            </w:pPr>
            <w:r>
              <w:rPr>
                <w:rFonts w:hint="eastAsia" w:ascii="宋体" w:hAnsi="宋体"/>
                <w:sz w:val="24"/>
                <w:highlight w:val="none"/>
                <w:lang w:eastAsia="zh-CN"/>
              </w:rPr>
              <w:t>公开</w:t>
            </w:r>
            <w:r>
              <w:rPr>
                <w:rFonts w:hint="eastAsia" w:ascii="宋体" w:hAnsi="宋体"/>
                <w:sz w:val="24"/>
                <w:highlight w:val="none"/>
              </w:rPr>
              <w:t>议价时间：</w:t>
            </w:r>
            <w:r>
              <w:rPr>
                <w:rFonts w:hint="eastAsia" w:ascii="宋体" w:hAnsi="宋体"/>
                <w:sz w:val="24"/>
                <w:highlight w:val="none"/>
                <w:lang w:val="en-US" w:eastAsia="zh-CN"/>
              </w:rPr>
              <w:t>议价时间另行通知</w:t>
            </w:r>
          </w:p>
          <w:p w14:paraId="4DDC5709">
            <w:pPr>
              <w:spacing w:line="360" w:lineRule="auto"/>
              <w:ind w:firstLine="240" w:firstLineChars="100"/>
              <w:jc w:val="left"/>
              <w:rPr>
                <w:rFonts w:ascii="宋体" w:hAnsi="宋体" w:cs="宋体"/>
                <w:sz w:val="24"/>
                <w:highlight w:val="none"/>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eastAsia="zh-CN"/>
              </w:rPr>
              <w:t>现场议价，地点详见附件</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none"/>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5BE5E9F2">
      <w:pPr>
        <w:keepNext w:val="0"/>
        <w:keepLines w:val="0"/>
        <w:pageBreakBefore w:val="0"/>
        <w:numPr>
          <w:ilvl w:val="0"/>
          <w:numId w:val="0"/>
        </w:numPr>
        <w:kinsoku/>
        <w:wordWrap/>
        <w:overflowPunct/>
        <w:topLinePunct w:val="0"/>
        <w:bidi w:val="0"/>
        <w:adjustRightInd/>
        <w:snapToGrid/>
        <w:spacing w:line="400" w:lineRule="exact"/>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一、技术要求</w:t>
      </w:r>
    </w:p>
    <w:p w14:paraId="28A8C245">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1.工程概况：</w:t>
      </w:r>
    </w:p>
    <w:p w14:paraId="1D5D704F">
      <w:pPr>
        <w:spacing w:line="560" w:lineRule="exact"/>
        <w:ind w:firstLine="723" w:firstLineChars="300"/>
        <w:jc w:val="left"/>
        <w:rPr>
          <w:rFonts w:hint="default" w:ascii="宋体" w:hAnsi="宋体" w:cs="宋体"/>
          <w:sz w:val="24"/>
          <w:szCs w:val="24"/>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b/>
          <w:color w:val="auto"/>
          <w:sz w:val="24"/>
          <w:szCs w:val="24"/>
          <w:lang w:val="en-US" w:eastAsia="zh-CN"/>
        </w:rPr>
        <w:t>建设地面消防储水箱项目位于纬五路</w:t>
      </w:r>
      <w:r>
        <w:rPr>
          <w:rFonts w:hint="eastAsia" w:ascii="宋体" w:hAnsi="宋体" w:cs="宋体"/>
          <w:sz w:val="24"/>
          <w:szCs w:val="24"/>
          <w:highlight w:val="none"/>
          <w:lang w:val="en-US" w:eastAsia="zh-CN"/>
        </w:rPr>
        <w:t>1号院，位于院区1号楼北侧建设地面保险柜材质消防水箱一个</w:t>
      </w:r>
    </w:p>
    <w:p w14:paraId="6D33B80D">
      <w:pPr>
        <w:spacing w:line="560" w:lineRule="exact"/>
        <w:ind w:firstLine="241" w:firstLineChars="1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2.技术标准与要求。</w:t>
      </w:r>
    </w:p>
    <w:p w14:paraId="00C95BF0">
      <w:pPr>
        <w:spacing w:line="56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本工程项目清单及图纸中指定的规范标准或法规为工程实施中实际采用的标准和法规，提出采用的其他标准及规范，如能保证其达到与本规范所规定的标准及规范相同的质量或更高的质量，经工程师事先审阅和书面批准即可采用。</w:t>
      </w:r>
    </w:p>
    <w:p w14:paraId="2DB5736F">
      <w:pPr>
        <w:spacing w:line="56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本工程实施中所采用的材料、设备和工艺应在各方面符合引用的标准、规范。</w:t>
      </w:r>
    </w:p>
    <w:p w14:paraId="790B87CD">
      <w:pPr>
        <w:spacing w:line="56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本工程实施中采用指定的技术规范和标准如出现标准不一致的情况，以标准高的为准。</w:t>
      </w:r>
    </w:p>
    <w:p w14:paraId="258FA391">
      <w:pPr>
        <w:spacing w:line="560" w:lineRule="exact"/>
        <w:ind w:firstLine="480" w:firstLineChars="200"/>
        <w:jc w:val="left"/>
        <w:rPr>
          <w:rFonts w:hint="default"/>
          <w:lang w:val="en-US" w:eastAsia="zh-CN"/>
        </w:rPr>
      </w:pPr>
      <w:r>
        <w:rPr>
          <w:rFonts w:hint="eastAsia" w:ascii="宋体" w:hAnsi="宋体" w:cs="宋体"/>
          <w:sz w:val="24"/>
          <w:szCs w:val="24"/>
          <w:lang w:val="en-US" w:eastAsia="zh-CN"/>
        </w:rPr>
        <w:t>其他与本工程有关的现行工程技术、施工验收标准及规范与新技术规范标准不一致时，以新技术规范标准为准。</w:t>
      </w:r>
    </w:p>
    <w:p w14:paraId="3A6DA53C">
      <w:pPr>
        <w:rPr>
          <w:rFonts w:hint="eastAsia" w:ascii="宋体" w:hAnsi="宋体" w:cs="宋体"/>
          <w:b/>
          <w:bCs/>
          <w:color w:val="auto"/>
          <w:sz w:val="24"/>
          <w:szCs w:val="24"/>
          <w:highlight w:val="none"/>
          <w:lang w:val="en-US" w:eastAsia="zh-CN"/>
        </w:rPr>
      </w:pPr>
    </w:p>
    <w:p w14:paraId="0E5DAFD3">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241" w:firstLineChars="1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工程量清单</w:t>
      </w:r>
      <w:r>
        <w:rPr>
          <w:rFonts w:hint="eastAsia" w:ascii="宋体" w:hAnsi="宋体" w:eastAsia="宋体" w:cs="宋体"/>
          <w:b/>
          <w:bCs/>
          <w:color w:val="auto"/>
          <w:sz w:val="24"/>
          <w:szCs w:val="24"/>
          <w:lang w:val="en-US" w:eastAsia="zh-CN"/>
        </w:rPr>
        <w:t>( 另附 ）</w:t>
      </w:r>
    </w:p>
    <w:p w14:paraId="524D08AE">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241" w:firstLineChars="1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图纸电子版</w:t>
      </w:r>
      <w:r>
        <w:rPr>
          <w:rFonts w:hint="eastAsia" w:ascii="宋体" w:hAnsi="宋体" w:eastAsia="宋体" w:cs="宋体"/>
          <w:b/>
          <w:bCs/>
          <w:color w:val="auto"/>
          <w:sz w:val="24"/>
          <w:szCs w:val="24"/>
          <w:lang w:val="en-US" w:eastAsia="zh-CN"/>
        </w:rPr>
        <w:t>( 另附 ）</w:t>
      </w:r>
    </w:p>
    <w:p w14:paraId="28C63423">
      <w:pPr>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p>
    <w:p w14:paraId="291C4A92">
      <w:pPr>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二、商务要求</w:t>
      </w:r>
    </w:p>
    <w:p w14:paraId="5ED6B34E">
      <w:pPr>
        <w:keepNext w:val="0"/>
        <w:keepLines w:val="0"/>
        <w:pageBreakBefore w:val="0"/>
        <w:kinsoku/>
        <w:wordWrap/>
        <w:overflowPunct/>
        <w:topLinePunct w:val="0"/>
        <w:autoSpaceDE/>
        <w:autoSpaceDN/>
        <w:bidi w:val="0"/>
        <w:adjustRightInd/>
        <w:snapToGrid/>
        <w:spacing w:line="400" w:lineRule="exact"/>
        <w:ind w:left="0" w:leftChars="0"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1.特定资格：  </w:t>
      </w:r>
    </w:p>
    <w:p w14:paraId="427214D2">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254" w:firstLineChars="100"/>
        <w:textAlignment w:val="auto"/>
        <w:rPr>
          <w:rFonts w:hint="eastAsia" w:ascii="宋体" w:hAnsi="宋体" w:eastAsia="宋体" w:cs="宋体"/>
          <w:spacing w:val="7"/>
          <w:sz w:val="24"/>
          <w:szCs w:val="24"/>
          <w:lang w:bidi="ar"/>
        </w:rPr>
      </w:pPr>
      <w:r>
        <w:rPr>
          <w:rFonts w:hint="eastAsia" w:cs="宋体"/>
          <w:spacing w:val="7"/>
          <w:sz w:val="24"/>
          <w:szCs w:val="24"/>
          <w:lang w:val="en-US" w:eastAsia="zh-CN" w:bidi="ar"/>
        </w:rPr>
        <w:t>（1）</w:t>
      </w:r>
      <w:r>
        <w:rPr>
          <w:rFonts w:hint="eastAsia" w:ascii="宋体" w:hAnsi="宋体" w:eastAsia="宋体" w:cs="宋体"/>
          <w:spacing w:val="7"/>
          <w:sz w:val="24"/>
          <w:szCs w:val="24"/>
          <w:lang w:bidi="ar"/>
        </w:rPr>
        <w:t>须具有国家建设行政主管部门颁发的建筑工程施工总承包</w:t>
      </w:r>
      <w:r>
        <w:rPr>
          <w:rFonts w:hint="eastAsia" w:cs="宋体"/>
          <w:color w:val="auto"/>
          <w:spacing w:val="7"/>
          <w:sz w:val="24"/>
          <w:szCs w:val="24"/>
          <w:highlight w:val="none"/>
          <w:lang w:val="en-US" w:eastAsia="zh-CN" w:bidi="ar"/>
        </w:rPr>
        <w:t>三</w:t>
      </w:r>
      <w:r>
        <w:rPr>
          <w:rFonts w:hint="eastAsia" w:ascii="宋体" w:hAnsi="宋体" w:eastAsia="宋体" w:cs="宋体"/>
          <w:color w:val="auto"/>
          <w:spacing w:val="7"/>
          <w:sz w:val="24"/>
          <w:szCs w:val="24"/>
          <w:highlight w:val="none"/>
          <w:lang w:bidi="ar"/>
        </w:rPr>
        <w:t>级及</w:t>
      </w:r>
      <w:r>
        <w:rPr>
          <w:rFonts w:hint="eastAsia" w:cs="宋体"/>
          <w:color w:val="auto"/>
          <w:spacing w:val="7"/>
          <w:sz w:val="24"/>
          <w:szCs w:val="24"/>
          <w:highlight w:val="none"/>
          <w:lang w:eastAsia="zh-CN" w:bidi="ar"/>
        </w:rPr>
        <w:t>三</w:t>
      </w:r>
      <w:r>
        <w:rPr>
          <w:rFonts w:hint="eastAsia" w:cs="宋体"/>
          <w:color w:val="auto"/>
          <w:spacing w:val="7"/>
          <w:sz w:val="24"/>
          <w:szCs w:val="24"/>
          <w:highlight w:val="none"/>
          <w:lang w:val="en-US" w:eastAsia="zh-CN" w:bidi="ar"/>
        </w:rPr>
        <w:t xml:space="preserve"> </w:t>
      </w:r>
      <w:r>
        <w:rPr>
          <w:rFonts w:hint="eastAsia" w:ascii="宋体" w:hAnsi="宋体" w:eastAsia="宋体" w:cs="宋体"/>
          <w:color w:val="auto"/>
          <w:spacing w:val="7"/>
          <w:sz w:val="24"/>
          <w:szCs w:val="24"/>
          <w:highlight w:val="none"/>
          <w:lang w:bidi="ar"/>
        </w:rPr>
        <w:t>级以上，或建筑装饰装修工程专业承包</w:t>
      </w:r>
      <w:r>
        <w:rPr>
          <w:rFonts w:hint="eastAsia" w:cs="宋体"/>
          <w:color w:val="auto"/>
          <w:spacing w:val="7"/>
          <w:sz w:val="24"/>
          <w:szCs w:val="24"/>
          <w:highlight w:val="none"/>
          <w:lang w:val="en-US" w:eastAsia="zh-CN" w:bidi="ar"/>
        </w:rPr>
        <w:t>三</w:t>
      </w:r>
      <w:r>
        <w:rPr>
          <w:rFonts w:hint="eastAsia" w:ascii="宋体" w:hAnsi="宋体" w:eastAsia="宋体" w:cs="宋体"/>
          <w:color w:val="auto"/>
          <w:spacing w:val="7"/>
          <w:sz w:val="24"/>
          <w:szCs w:val="24"/>
          <w:highlight w:val="none"/>
          <w:lang w:bidi="ar"/>
        </w:rPr>
        <w:t>级及</w:t>
      </w:r>
      <w:r>
        <w:rPr>
          <w:rFonts w:hint="eastAsia" w:cs="宋体"/>
          <w:color w:val="auto"/>
          <w:spacing w:val="7"/>
          <w:sz w:val="24"/>
          <w:szCs w:val="24"/>
          <w:highlight w:val="none"/>
          <w:lang w:val="en-US" w:eastAsia="zh-CN" w:bidi="ar"/>
        </w:rPr>
        <w:t>三</w:t>
      </w:r>
      <w:r>
        <w:rPr>
          <w:rFonts w:hint="eastAsia" w:ascii="宋体" w:hAnsi="宋体" w:eastAsia="宋体" w:cs="宋体"/>
          <w:color w:val="auto"/>
          <w:spacing w:val="7"/>
          <w:sz w:val="24"/>
          <w:szCs w:val="24"/>
          <w:highlight w:val="none"/>
          <w:lang w:bidi="ar"/>
        </w:rPr>
        <w:t>级</w:t>
      </w:r>
      <w:r>
        <w:rPr>
          <w:rFonts w:hint="eastAsia" w:ascii="宋体" w:hAnsi="宋体" w:eastAsia="宋体" w:cs="宋体"/>
          <w:spacing w:val="7"/>
          <w:sz w:val="24"/>
          <w:szCs w:val="24"/>
          <w:lang w:bidi="ar"/>
        </w:rPr>
        <w:t>以上资质，具有有效的安全生产许可证；</w:t>
      </w:r>
    </w:p>
    <w:p w14:paraId="446F9522">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254" w:firstLineChars="100"/>
        <w:textAlignment w:val="auto"/>
        <w:rPr>
          <w:rFonts w:hint="eastAsia" w:ascii="宋体" w:hAnsi="宋体" w:eastAsia="宋体" w:cs="宋体"/>
          <w:b/>
          <w:bCs/>
          <w:color w:val="auto"/>
          <w:sz w:val="24"/>
          <w:szCs w:val="24"/>
        </w:rPr>
      </w:pPr>
      <w:r>
        <w:rPr>
          <w:rFonts w:hint="eastAsia" w:cs="宋体"/>
          <w:spacing w:val="7"/>
          <w:sz w:val="24"/>
          <w:szCs w:val="24"/>
          <w:lang w:val="en-US" w:eastAsia="zh-CN" w:bidi="ar"/>
        </w:rPr>
        <w:t>（2）</w:t>
      </w:r>
      <w:r>
        <w:rPr>
          <w:rFonts w:hint="eastAsia" w:ascii="宋体" w:hAnsi="宋体" w:eastAsia="宋体" w:cs="宋体"/>
          <w:spacing w:val="7"/>
          <w:sz w:val="24"/>
          <w:szCs w:val="24"/>
          <w:lang w:bidi="ar"/>
        </w:rPr>
        <w:t>拟派项目经理须具有建筑工程专业</w:t>
      </w:r>
      <w:r>
        <w:rPr>
          <w:rFonts w:hint="eastAsia" w:cs="宋体"/>
          <w:spacing w:val="7"/>
          <w:sz w:val="24"/>
          <w:szCs w:val="24"/>
          <w:lang w:eastAsia="zh-CN" w:bidi="ar"/>
        </w:rPr>
        <w:t>二</w:t>
      </w:r>
      <w:r>
        <w:rPr>
          <w:rFonts w:hint="eastAsia" w:ascii="宋体" w:hAnsi="宋体" w:eastAsia="宋体" w:cs="宋体"/>
          <w:color w:val="auto"/>
          <w:spacing w:val="7"/>
          <w:sz w:val="24"/>
          <w:szCs w:val="24"/>
          <w:highlight w:val="none"/>
          <w:lang w:bidi="ar"/>
        </w:rPr>
        <w:t>级及</w:t>
      </w:r>
      <w:r>
        <w:rPr>
          <w:rFonts w:hint="eastAsia" w:cs="宋体"/>
          <w:color w:val="auto"/>
          <w:spacing w:val="7"/>
          <w:sz w:val="24"/>
          <w:szCs w:val="24"/>
          <w:highlight w:val="none"/>
          <w:lang w:eastAsia="zh-CN" w:bidi="ar"/>
        </w:rPr>
        <w:t>二</w:t>
      </w:r>
      <w:r>
        <w:rPr>
          <w:rFonts w:hint="eastAsia" w:ascii="宋体" w:hAnsi="宋体" w:eastAsia="宋体" w:cs="宋体"/>
          <w:color w:val="auto"/>
          <w:spacing w:val="7"/>
          <w:sz w:val="24"/>
          <w:szCs w:val="24"/>
          <w:highlight w:val="none"/>
          <w:lang w:bidi="ar"/>
        </w:rPr>
        <w:t>级以上</w:t>
      </w:r>
      <w:r>
        <w:rPr>
          <w:rFonts w:hint="eastAsia" w:ascii="宋体" w:hAnsi="宋体" w:eastAsia="宋体" w:cs="宋体"/>
          <w:spacing w:val="7"/>
          <w:sz w:val="24"/>
          <w:szCs w:val="24"/>
          <w:lang w:bidi="ar"/>
        </w:rPr>
        <w:t>注册建造师资格，具备有效的安全生产考核合格证书，且未担任其他在施建设工程项目</w:t>
      </w:r>
      <w:r>
        <w:rPr>
          <w:rFonts w:hint="eastAsia" w:ascii="宋体" w:hAnsi="宋体" w:eastAsia="宋体" w:cs="宋体"/>
          <w:spacing w:val="7"/>
          <w:sz w:val="24"/>
          <w:szCs w:val="24"/>
          <w:lang w:eastAsia="zh-CN" w:bidi="ar"/>
        </w:rPr>
        <w:t>。</w:t>
      </w:r>
      <w:r>
        <w:rPr>
          <w:rFonts w:hint="eastAsia" w:ascii="宋体" w:hAnsi="宋体" w:eastAsia="宋体" w:cs="宋体"/>
          <w:b/>
          <w:bCs/>
          <w:color w:val="auto"/>
          <w:sz w:val="24"/>
          <w:szCs w:val="24"/>
        </w:rPr>
        <w:t xml:space="preserve">                       </w:t>
      </w:r>
    </w:p>
    <w:p w14:paraId="151D61BB">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241"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工期：</w:t>
      </w:r>
      <w:r>
        <w:rPr>
          <w:rFonts w:hint="eastAsia" w:ascii="宋体" w:hAnsi="宋体" w:cs="宋体"/>
          <w:b/>
          <w:bCs/>
          <w:color w:val="auto"/>
          <w:sz w:val="24"/>
          <w:szCs w:val="24"/>
          <w:lang w:val="en-US" w:eastAsia="zh-CN"/>
        </w:rPr>
        <w:t xml:space="preserve"> 30 </w:t>
      </w:r>
      <w:r>
        <w:rPr>
          <w:rFonts w:hint="eastAsia" w:ascii="宋体" w:hAnsi="宋体" w:eastAsia="宋体" w:cs="宋体"/>
          <w:b w:val="0"/>
          <w:bCs w:val="0"/>
          <w:color w:val="auto"/>
          <w:sz w:val="24"/>
          <w:szCs w:val="24"/>
          <w:lang w:val="en-US" w:eastAsia="zh-CN"/>
        </w:rPr>
        <w:t>日历天</w:t>
      </w:r>
    </w:p>
    <w:p w14:paraId="35275BA4">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0" w:leftChars="0" w:right="0" w:rightChars="0" w:firstLine="241" w:firstLineChars="1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质量标准：</w:t>
      </w:r>
      <w:r>
        <w:rPr>
          <w:rFonts w:hint="eastAsia" w:ascii="宋体" w:hAnsi="宋体" w:eastAsia="宋体" w:cs="宋体"/>
          <w:b w:val="0"/>
          <w:bCs w:val="0"/>
          <w:color w:val="auto"/>
          <w:sz w:val="24"/>
          <w:szCs w:val="24"/>
          <w:lang w:eastAsia="zh-CN"/>
        </w:rPr>
        <w:t>合格。</w:t>
      </w:r>
    </w:p>
    <w:p w14:paraId="541B1C60">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444" w:leftChars="114" w:right="0" w:rightChars="0" w:hanging="1205" w:hangingChars="5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质保期：</w:t>
      </w:r>
      <w:r>
        <w:rPr>
          <w:rFonts w:hint="eastAsia" w:ascii="宋体" w:hAnsi="宋体" w:eastAsia="宋体" w:cs="宋体"/>
          <w:color w:val="000000" w:themeColor="text1"/>
          <w:sz w:val="24"/>
          <w:szCs w:val="24"/>
          <w:lang w:val="en-US" w:eastAsia="zh-CN"/>
          <w14:textFill>
            <w14:solidFill>
              <w14:schemeClr w14:val="tx1"/>
            </w14:solidFill>
          </w14:textFill>
        </w:rPr>
        <w:t>工程验收合格经批准移交之日不少于</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年。</w:t>
      </w:r>
    </w:p>
    <w:p w14:paraId="2645C485">
      <w:pPr>
        <w:keepNext w:val="0"/>
        <w:keepLines w:val="0"/>
        <w:pageBreakBefore w:val="0"/>
        <w:kinsoku/>
        <w:wordWrap/>
        <w:overflowPunct/>
        <w:topLinePunct w:val="0"/>
        <w:autoSpaceDE/>
        <w:autoSpaceDN/>
        <w:bidi w:val="0"/>
        <w:adjustRightInd/>
        <w:snapToGrid/>
        <w:spacing w:line="400" w:lineRule="exact"/>
        <w:ind w:left="0" w:leftChars="0" w:firstLine="241" w:firstLineChars="1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履约保证金</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highlight w:val="none"/>
          <w:lang w:eastAsia="zh-CN"/>
        </w:rPr>
        <w:t>无</w:t>
      </w:r>
    </w:p>
    <w:p w14:paraId="4306B064">
      <w:pPr>
        <w:spacing w:line="560" w:lineRule="exact"/>
        <w:ind w:left="239" w:leftChars="114" w:firstLine="0" w:firstLineChars="0"/>
        <w:jc w:val="left"/>
        <w:rPr>
          <w:rFonts w:hint="default" w:ascii="宋体" w:hAnsi="宋体" w:cs="宋体"/>
          <w:sz w:val="24"/>
          <w:szCs w:val="24"/>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.付款方式：</w:t>
      </w:r>
      <w:r>
        <w:rPr>
          <w:rFonts w:hint="eastAsia" w:ascii="宋体" w:hAnsi="宋体" w:eastAsia="宋体" w:cs="宋体"/>
          <w:kern w:val="0"/>
          <w:sz w:val="24"/>
          <w:szCs w:val="24"/>
          <w:lang w:val="en-US" w:eastAsia="zh-CN" w:bidi="zh-CN"/>
        </w:rPr>
        <w:t>合同签订后，施工完成并验收合格之后，支付合同总价的97%货款，剩余3％为质量保证金</w:t>
      </w:r>
      <w:r>
        <w:rPr>
          <w:rFonts w:hint="eastAsia" w:ascii="宋体" w:hAnsi="宋体" w:cs="宋体"/>
          <w:kern w:val="0"/>
          <w:sz w:val="24"/>
          <w:szCs w:val="24"/>
          <w:lang w:val="en-US" w:eastAsia="zh-CN" w:bidi="zh-CN"/>
        </w:rPr>
        <w:t>，质保到期后支付。</w:t>
      </w:r>
    </w:p>
    <w:p w14:paraId="0900CDB5">
      <w:pPr>
        <w:keepNext w:val="0"/>
        <w:keepLines w:val="0"/>
        <w:pageBreakBefore w:val="0"/>
        <w:kinsoku/>
        <w:wordWrap/>
        <w:overflowPunct/>
        <w:topLinePunct w:val="0"/>
        <w:autoSpaceDE/>
        <w:autoSpaceDN/>
        <w:bidi w:val="0"/>
        <w:adjustRightInd/>
        <w:snapToGrid/>
        <w:spacing w:line="400" w:lineRule="exact"/>
        <w:ind w:left="0" w:leftChars="0" w:firstLine="241" w:firstLineChars="100"/>
        <w:textAlignment w:val="auto"/>
        <w:rPr>
          <w:rFonts w:hint="eastAsia" w:ascii="宋体" w:hAnsi="宋体" w:eastAsia="宋体" w:cs="宋体"/>
          <w:b/>
          <w:bCs/>
          <w:color w:val="auto"/>
          <w:sz w:val="24"/>
          <w:szCs w:val="24"/>
        </w:rPr>
      </w:pPr>
    </w:p>
    <w:p w14:paraId="2CBC73C9">
      <w:pPr>
        <w:keepNext w:val="0"/>
        <w:keepLines w:val="0"/>
        <w:pageBreakBefore w:val="0"/>
        <w:kinsoku/>
        <w:wordWrap/>
        <w:overflowPunct/>
        <w:topLinePunct w:val="0"/>
        <w:autoSpaceDE/>
        <w:autoSpaceDN/>
        <w:bidi w:val="0"/>
        <w:adjustRightInd/>
        <w:snapToGrid/>
        <w:spacing w:line="400" w:lineRule="exact"/>
        <w:ind w:left="0" w:leftChars="0" w:firstLine="420" w:firstLineChars="175"/>
        <w:textAlignment w:val="auto"/>
        <w:rPr>
          <w:rFonts w:hint="eastAsia" w:ascii="宋体" w:hAnsi="宋体" w:eastAsia="宋体" w:cs="宋体"/>
          <w:bCs/>
          <w:sz w:val="24"/>
          <w:szCs w:val="24"/>
          <w:lang w:val="en-US" w:eastAsia="zh-CN"/>
        </w:rPr>
      </w:pPr>
    </w:p>
    <w:p w14:paraId="54E2E8B6">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
        <w:rPr>
          <w:rFonts w:hint="eastAsia"/>
        </w:rPr>
      </w:pPr>
    </w:p>
    <w:p w14:paraId="57643ED5">
      <w:pPr>
        <w:rPr>
          <w:rFonts w:hint="eastAsia"/>
        </w:rPr>
      </w:pPr>
    </w:p>
    <w:p w14:paraId="4A31B64B">
      <w:pPr>
        <w:pStyle w:val="2"/>
        <w:rPr>
          <w:rFonts w:hint="eastAsia"/>
        </w:rPr>
      </w:pPr>
    </w:p>
    <w:p w14:paraId="5F51D7AF">
      <w:pPr>
        <w:rPr>
          <w:rFonts w:hint="eastAsia"/>
        </w:rPr>
      </w:pPr>
    </w:p>
    <w:p w14:paraId="3B455305">
      <w:pPr>
        <w:pStyle w:val="2"/>
        <w:rPr>
          <w:rFonts w:hint="eastAsia"/>
        </w:rPr>
      </w:pPr>
    </w:p>
    <w:p w14:paraId="54ACCFB3">
      <w:pPr>
        <w:rPr>
          <w:rFonts w:hint="eastAsia"/>
        </w:rPr>
      </w:pPr>
    </w:p>
    <w:p w14:paraId="625DF09B">
      <w:pPr>
        <w:pStyle w:val="2"/>
        <w:rPr>
          <w:rFonts w:hint="eastAsia"/>
        </w:rPr>
      </w:pPr>
    </w:p>
    <w:p w14:paraId="7070AE07">
      <w:pPr>
        <w:rPr>
          <w:rFonts w:hint="eastAsia"/>
        </w:rPr>
      </w:pPr>
    </w:p>
    <w:p w14:paraId="4C5059FB">
      <w:pPr>
        <w:pStyle w:val="2"/>
        <w:rPr>
          <w:rFonts w:hint="eastAsia"/>
        </w:rPr>
      </w:pPr>
    </w:p>
    <w:p w14:paraId="6C6F618A">
      <w:pPr>
        <w:pStyle w:val="24"/>
        <w:spacing w:before="0" w:after="0"/>
        <w:rPr>
          <w:color w:val="auto"/>
          <w:sz w:val="28"/>
          <w:highlight w:val="none"/>
        </w:rPr>
      </w:pPr>
      <w:bookmarkStart w:id="1" w:name="_Toc24908"/>
      <w:r>
        <w:rPr>
          <w:rFonts w:hint="eastAsia"/>
          <w:color w:val="auto"/>
          <w:sz w:val="28"/>
          <w:highlight w:val="none"/>
        </w:rPr>
        <w:t>第一部分资格证明文件</w:t>
      </w:r>
      <w:bookmarkEnd w:id="1"/>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8"/>
        <w:spacing w:before="0" w:after="0"/>
        <w:jc w:val="center"/>
        <w:rPr>
          <w:rFonts w:hint="eastAsia"/>
          <w:color w:val="auto"/>
          <w:sz w:val="28"/>
          <w:szCs w:val="36"/>
          <w:highlight w:val="none"/>
        </w:rPr>
      </w:pPr>
      <w:bookmarkStart w:id="2" w:name="_Toc902"/>
      <w:bookmarkStart w:id="3" w:name="_Toc2479"/>
    </w:p>
    <w:p w14:paraId="429A44DC">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3"/>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3"/>
        <w:rPr>
          <w:rFonts w:ascii="宋体"/>
          <w:sz w:val="24"/>
        </w:rPr>
      </w:pPr>
      <w:r>
        <w:rPr>
          <w:rFonts w:ascii="宋体"/>
          <w:sz w:val="24"/>
        </w:rPr>
        <w:br w:type="page"/>
      </w:r>
    </w:p>
    <w:p w14:paraId="141453CB">
      <w:pPr>
        <w:jc w:val="center"/>
        <w:rPr>
          <w:rFonts w:ascii="宋体"/>
          <w:color w:val="auto"/>
          <w:highlight w:val="none"/>
        </w:rPr>
      </w:pPr>
    </w:p>
    <w:p w14:paraId="2956260B">
      <w:pPr>
        <w:pStyle w:val="8"/>
        <w:spacing w:before="0" w:after="0"/>
        <w:jc w:val="center"/>
        <w:rPr>
          <w:rFonts w:hint="eastAsia"/>
          <w:color w:val="auto"/>
          <w:sz w:val="28"/>
          <w:szCs w:val="36"/>
          <w:highlight w:val="none"/>
        </w:rPr>
      </w:pPr>
      <w:bookmarkStart w:id="5" w:name="_资格证明文件"/>
      <w:bookmarkEnd w:id="5"/>
      <w:bookmarkStart w:id="6" w:name="_Toc31029"/>
      <w:bookmarkStart w:id="7" w:name="_Toc10534"/>
    </w:p>
    <w:p w14:paraId="296C5282">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8"/>
        <w:spacing w:before="0" w:after="0"/>
        <w:jc w:val="center"/>
        <w:rPr>
          <w:rFonts w:hint="eastAsia"/>
          <w:color w:val="auto"/>
          <w:sz w:val="28"/>
          <w:szCs w:val="28"/>
          <w:highlight w:val="none"/>
        </w:rPr>
      </w:pPr>
      <w:bookmarkStart w:id="8" w:name="_Toc26111"/>
      <w:bookmarkStart w:id="9" w:name="_Toc4559"/>
      <w:bookmarkStart w:id="10" w:name="_Toc11890"/>
    </w:p>
    <w:p w14:paraId="7B9B40F4">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w:t>
      </w:r>
      <w:r>
        <w:rPr>
          <w:rFonts w:hint="eastAsia" w:ascii="宋体" w:hAnsi="宋体"/>
          <w:color w:val="auto"/>
          <w:sz w:val="24"/>
        </w:rPr>
        <w:t xml:space="preserve">经会计师事务所或者审计机构审计的财务报告； </w:t>
      </w:r>
    </w:p>
    <w:p w14:paraId="7FCA0A40">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8"/>
        <w:spacing w:before="0" w:after="0"/>
        <w:jc w:val="center"/>
        <w:rPr>
          <w:rFonts w:hint="eastAsia"/>
          <w:color w:val="auto"/>
          <w:sz w:val="28"/>
          <w:szCs w:val="28"/>
          <w:highlight w:val="none"/>
        </w:rPr>
      </w:pPr>
      <w:bookmarkStart w:id="11" w:name="_Toc19319"/>
      <w:bookmarkStart w:id="12" w:name="_Toc569"/>
      <w:bookmarkStart w:id="13" w:name="_Toc24403"/>
    </w:p>
    <w:p w14:paraId="3C75F609">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
      </w:pPr>
    </w:p>
    <w:p w14:paraId="7778257D"/>
    <w:p w14:paraId="79993B53">
      <w:pPr>
        <w:pStyle w:val="2"/>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4" w:name="_Toc10542"/>
      <w:bookmarkStart w:id="15" w:name="_Toc1972"/>
    </w:p>
    <w:p w14:paraId="11FCB31D">
      <w:pPr>
        <w:pStyle w:val="8"/>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8"/>
        <w:spacing w:before="0" w:after="0"/>
        <w:jc w:val="center"/>
        <w:rPr>
          <w:rFonts w:hint="eastAsia"/>
          <w:color w:val="auto"/>
          <w:sz w:val="28"/>
          <w:highlight w:val="none"/>
        </w:rPr>
      </w:pPr>
      <w:bookmarkStart w:id="17" w:name="_Toc31728"/>
      <w:bookmarkStart w:id="18" w:name="_Toc32668"/>
      <w:bookmarkStart w:id="19" w:name="_Toc8953"/>
    </w:p>
    <w:p w14:paraId="21CAA989">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
      </w:pPr>
    </w:p>
    <w:p w14:paraId="2F61A676"/>
    <w:p w14:paraId="2719E15B">
      <w:pPr>
        <w:pStyle w:val="2"/>
      </w:pPr>
    </w:p>
    <w:p w14:paraId="0193E053"/>
    <w:p w14:paraId="60308629">
      <w:pPr>
        <w:pStyle w:val="2"/>
      </w:pPr>
    </w:p>
    <w:p w14:paraId="2CF0EC85"/>
    <w:p w14:paraId="5F2B7D70">
      <w:pPr>
        <w:pStyle w:val="2"/>
      </w:pPr>
    </w:p>
    <w:p w14:paraId="52E3042F"/>
    <w:p w14:paraId="368E6380">
      <w:pPr>
        <w:pStyle w:val="3"/>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11219"/>
      <w:bookmarkStart w:id="22" w:name="_Toc28112"/>
      <w:bookmarkStart w:id="23" w:name="_Toc4657"/>
    </w:p>
    <w:p w14:paraId="446857C4">
      <w:pPr>
        <w:pStyle w:val="8"/>
        <w:spacing w:before="0" w:after="0"/>
        <w:jc w:val="center"/>
        <w:rPr>
          <w:rFonts w:hint="eastAsia"/>
          <w:color w:val="auto"/>
          <w:sz w:val="28"/>
          <w:szCs w:val="36"/>
          <w:highlight w:val="none"/>
          <w:lang w:eastAsia="zh-CN"/>
        </w:rPr>
      </w:pPr>
    </w:p>
    <w:p w14:paraId="02223799">
      <w:pPr>
        <w:pStyle w:val="8"/>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9"/>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8"/>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3"/>
    <w:p w14:paraId="6D8B67AE">
      <w:pPr>
        <w:bidi w:val="0"/>
        <w:rPr>
          <w:rFonts w:hint="eastAsia"/>
          <w:lang w:eastAsia="zh-CN"/>
        </w:rPr>
      </w:pPr>
      <w:bookmarkStart w:id="24"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9"/>
        <w:rPr>
          <w:rFonts w:hint="eastAsia"/>
          <w:lang w:eastAsia="zh-CN"/>
        </w:rPr>
      </w:pPr>
    </w:p>
    <w:p w14:paraId="3D815568">
      <w:pPr>
        <w:pStyle w:val="8"/>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
        <w:rPr>
          <w:sz w:val="24"/>
          <w:szCs w:val="24"/>
        </w:rPr>
      </w:pPr>
    </w:p>
    <w:p w14:paraId="4C9D23A3">
      <w:pPr>
        <w:rPr>
          <w:sz w:val="24"/>
          <w:szCs w:val="24"/>
        </w:rPr>
      </w:pPr>
    </w:p>
    <w:p w14:paraId="2600D314">
      <w:pPr>
        <w:pStyle w:val="2"/>
        <w:rPr>
          <w:sz w:val="24"/>
          <w:szCs w:val="24"/>
        </w:rPr>
      </w:pPr>
    </w:p>
    <w:p w14:paraId="0D39C411">
      <w:pPr>
        <w:rPr>
          <w:sz w:val="24"/>
          <w:szCs w:val="24"/>
        </w:rPr>
      </w:pPr>
    </w:p>
    <w:p w14:paraId="6C29AA19">
      <w:pPr>
        <w:pStyle w:val="2"/>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4"/>
        <w:rPr>
          <w:color w:val="auto"/>
          <w:sz w:val="28"/>
          <w:highlight w:val="none"/>
        </w:rPr>
      </w:pPr>
      <w:bookmarkStart w:id="26" w:name="_Toc29119"/>
      <w:r>
        <w:rPr>
          <w:rFonts w:hint="eastAsia"/>
          <w:color w:val="auto"/>
          <w:sz w:val="28"/>
          <w:highlight w:val="none"/>
        </w:rPr>
        <w:t>第二部分商务、技术文件</w:t>
      </w:r>
      <w:bookmarkEnd w:id="26"/>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8"/>
        <w:spacing w:before="0" w:after="0"/>
        <w:jc w:val="center"/>
        <w:rPr>
          <w:rFonts w:hint="eastAsia"/>
          <w:color w:val="auto"/>
          <w:sz w:val="28"/>
          <w:highlight w:val="none"/>
          <w:lang w:eastAsia="zh-CN"/>
        </w:rPr>
      </w:pPr>
      <w:bookmarkStart w:id="27" w:name="_Toc11563"/>
    </w:p>
    <w:p w14:paraId="12BF41BA">
      <w:pPr>
        <w:pStyle w:val="8"/>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78C961C1">
      <w:pPr>
        <w:pStyle w:val="12"/>
        <w:spacing w:line="360" w:lineRule="auto"/>
        <w:ind w:firstLine="240" w:firstLineChars="100"/>
        <w:rPr>
          <w:rFonts w:hint="eastAsia" w:ascii="宋体" w:hAnsi="宋体"/>
          <w:bCs/>
          <w:sz w:val="24"/>
          <w:szCs w:val="24"/>
        </w:rPr>
      </w:pPr>
    </w:p>
    <w:p w14:paraId="2600FBBB">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工期</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日历天</w:t>
            </w: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ascii="宋体" w:hAnsi="宋体" w:eastAsia="宋体" w:cs="宋体"/>
                <w:b/>
                <w:bCs/>
                <w:color w:val="auto"/>
                <w:sz w:val="24"/>
                <w:szCs w:val="24"/>
              </w:rPr>
              <w:t>质保期</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工程验收合格经批准移交之日不少于</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cs="宋体"/>
                <w:color w:val="auto"/>
                <w:sz w:val="24"/>
                <w:highlight w:val="none"/>
              </w:rPr>
              <w:t xml:space="preserve">。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leftChars="0"/>
              <w:jc w:val="center"/>
              <w:rPr>
                <w:sz w:val="24"/>
                <w:szCs w:val="24"/>
                <w:highlight w:val="none"/>
              </w:rPr>
            </w:pPr>
            <w:r>
              <w:rPr>
                <w:rFonts w:hint="eastAsia"/>
                <w:sz w:val="24"/>
                <w:szCs w:val="24"/>
                <w:highlight w:val="none"/>
                <w:lang w:eastAsia="zh-CN"/>
              </w:rPr>
              <w:t>质量标准</w:t>
            </w:r>
          </w:p>
        </w:tc>
        <w:tc>
          <w:tcPr>
            <w:tcW w:w="6780" w:type="dxa"/>
            <w:vAlign w:val="center"/>
          </w:tcPr>
          <w:p w14:paraId="49CB1DFE">
            <w:pPr>
              <w:tabs>
                <w:tab w:val="left" w:pos="926"/>
                <w:tab w:val="left" w:pos="4335"/>
                <w:tab w:val="left" w:pos="4515"/>
                <w:tab w:val="left" w:pos="7227"/>
              </w:tabs>
              <w:spacing w:line="360" w:lineRule="auto"/>
              <w:jc w:val="center"/>
              <w:rPr>
                <w:highlight w:val="none"/>
              </w:rPr>
            </w:pPr>
            <w:r>
              <w:rPr>
                <w:rFonts w:hint="eastAsia" w:ascii="宋体" w:hAnsi="宋体" w:cs="宋体"/>
                <w:color w:val="auto"/>
                <w:sz w:val="24"/>
                <w:highlight w:val="none"/>
              </w:rPr>
              <w:t xml:space="preserve">符合国家、行业技术标准。  </w:t>
            </w:r>
          </w:p>
        </w:tc>
      </w:tr>
      <w:tr w14:paraId="6A03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0CA6D3AB">
            <w:pPr>
              <w:tabs>
                <w:tab w:val="left" w:pos="926"/>
                <w:tab w:val="left" w:pos="4335"/>
                <w:tab w:val="left" w:pos="4515"/>
                <w:tab w:val="left" w:pos="7227"/>
              </w:tabs>
              <w:ind w:left="-78" w:leftChars="0"/>
              <w:jc w:val="center"/>
              <w:rPr>
                <w:rFonts w:hint="eastAsia"/>
                <w:sz w:val="24"/>
                <w:szCs w:val="24"/>
                <w:highlight w:val="none"/>
              </w:rPr>
            </w:pPr>
            <w:r>
              <w:rPr>
                <w:rFonts w:hint="eastAsia"/>
                <w:sz w:val="24"/>
                <w:szCs w:val="24"/>
                <w:highlight w:val="none"/>
              </w:rPr>
              <w:t>其他声明</w:t>
            </w:r>
          </w:p>
        </w:tc>
        <w:tc>
          <w:tcPr>
            <w:tcW w:w="6780" w:type="dxa"/>
            <w:vAlign w:val="top"/>
          </w:tcPr>
          <w:p w14:paraId="59950616">
            <w:pPr>
              <w:tabs>
                <w:tab w:val="left" w:pos="926"/>
                <w:tab w:val="left" w:pos="4335"/>
                <w:tab w:val="left" w:pos="4515"/>
                <w:tab w:val="left" w:pos="7227"/>
              </w:tabs>
              <w:spacing w:line="360" w:lineRule="auto"/>
              <w:jc w:val="left"/>
              <w:rPr>
                <w:highlight w:val="none"/>
              </w:rPr>
            </w:pPr>
          </w:p>
          <w:p w14:paraId="7F07FA18">
            <w:pPr>
              <w:pStyle w:val="2"/>
              <w:ind w:firstLine="210" w:firstLineChars="100"/>
              <w:rPr>
                <w:highlight w:val="none"/>
              </w:rPr>
            </w:pPr>
          </w:p>
        </w:tc>
      </w:tr>
    </w:tbl>
    <w:p w14:paraId="3AA714E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D06DC0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51C6D3A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2E0EA81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highlight w:val="none"/>
        </w:rPr>
      </w:pPr>
      <w:r>
        <w:rPr>
          <w:rFonts w:hint="eastAsia" w:cs="宋体"/>
          <w:b w:val="0"/>
          <w:bCs/>
          <w:color w:val="auto"/>
          <w:sz w:val="21"/>
          <w:szCs w:val="21"/>
          <w:highlight w:val="none"/>
        </w:rPr>
        <w:t>2、总报价为报价人所报出的本项目全部价格之和，报价币种为人民币。</w:t>
      </w:r>
    </w:p>
    <w:p w14:paraId="02EC28E1">
      <w:pPr>
        <w:rPr>
          <w:rFonts w:hint="eastAsia"/>
          <w:highlight w:val="none"/>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12"/>
        <w:ind w:firstLine="0"/>
        <w:jc w:val="center"/>
        <w:outlineLvl w:val="2"/>
        <w:rPr>
          <w:rFonts w:hint="eastAsia" w:ascii="宋体" w:hAnsi="宋体"/>
          <w:b/>
          <w:bCs/>
          <w:sz w:val="30"/>
          <w:szCs w:val="30"/>
          <w:lang w:val="en-US" w:eastAsia="zh-CN"/>
        </w:rPr>
      </w:pPr>
    </w:p>
    <w:p w14:paraId="7A1433F6">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0"/>
        <w:tabs>
          <w:tab w:val="left" w:pos="945"/>
          <w:tab w:val="left" w:pos="1155"/>
        </w:tabs>
        <w:ind w:firstLine="0" w:firstLineChars="0"/>
        <w:rPr>
          <w:rFonts w:hint="eastAsia"/>
        </w:rPr>
      </w:pPr>
    </w:p>
    <w:p w14:paraId="1415C0DD">
      <w:pPr>
        <w:pStyle w:val="30"/>
        <w:tabs>
          <w:tab w:val="left" w:pos="945"/>
          <w:tab w:val="left" w:pos="1155"/>
        </w:tabs>
        <w:ind w:firstLine="0" w:firstLineChars="0"/>
        <w:rPr>
          <w:rFonts w:hint="eastAsia"/>
        </w:rPr>
      </w:pPr>
    </w:p>
    <w:p w14:paraId="626AB2D7">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8"/>
        <w:spacing w:before="0" w:after="0"/>
        <w:jc w:val="center"/>
        <w:rPr>
          <w:color w:val="auto"/>
          <w:sz w:val="28"/>
          <w:highlight w:val="none"/>
        </w:rPr>
      </w:pPr>
      <w:bookmarkStart w:id="28" w:name="_Toc21266"/>
      <w:bookmarkStart w:id="29"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0A88E1F">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3"/>
        <w:jc w:val="center"/>
        <w:outlineLvl w:val="1"/>
        <w:rPr>
          <w:b/>
          <w:color w:val="auto"/>
          <w:sz w:val="32"/>
          <w:szCs w:val="32"/>
        </w:rPr>
      </w:pPr>
    </w:p>
    <w:p w14:paraId="3800FBF1">
      <w:pPr>
        <w:pStyle w:val="3"/>
        <w:jc w:val="center"/>
        <w:outlineLvl w:val="1"/>
        <w:rPr>
          <w:b/>
          <w:color w:val="auto"/>
          <w:sz w:val="32"/>
          <w:szCs w:val="32"/>
        </w:rPr>
      </w:pPr>
    </w:p>
    <w:p w14:paraId="50E33DB8">
      <w:pPr>
        <w:pStyle w:val="3"/>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
        <w:rPr>
          <w:rFonts w:hint="eastAsia"/>
          <w:lang w:val="en-US" w:eastAsia="zh-CN"/>
        </w:rPr>
      </w:pPr>
    </w:p>
    <w:p w14:paraId="273B3F63">
      <w:pPr>
        <w:rPr>
          <w:rFonts w:hint="eastAsia"/>
          <w:lang w:val="en-US" w:eastAsia="zh-CN"/>
        </w:rPr>
      </w:pPr>
    </w:p>
    <w:p w14:paraId="3EB6FF68">
      <w:pPr>
        <w:pStyle w:val="2"/>
        <w:rPr>
          <w:rFonts w:hint="eastAsia"/>
          <w:lang w:val="en-US" w:eastAsia="zh-CN"/>
        </w:rPr>
      </w:pPr>
    </w:p>
    <w:p w14:paraId="72C7C170">
      <w:pPr>
        <w:rPr>
          <w:rFonts w:hint="eastAsia"/>
          <w:lang w:val="en-US" w:eastAsia="zh-CN"/>
        </w:rPr>
      </w:pPr>
    </w:p>
    <w:p w14:paraId="7FD08D24">
      <w:pPr>
        <w:pStyle w:val="2"/>
        <w:rPr>
          <w:rFonts w:hint="eastAsia"/>
          <w:lang w:val="en-US" w:eastAsia="zh-CN"/>
        </w:rPr>
      </w:pPr>
    </w:p>
    <w:p w14:paraId="7D6303E4">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8"/>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43A8C9EF">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12"/>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12"/>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
        <w:rPr>
          <w:rFonts w:hint="eastAsia"/>
          <w:b w:val="0"/>
          <w:bCs/>
          <w:sz w:val="28"/>
          <w:szCs w:val="28"/>
          <w:lang w:val="en-US" w:eastAsia="zh-CN"/>
        </w:rPr>
      </w:pPr>
    </w:p>
    <w:p w14:paraId="3D59F7F2">
      <w:pPr>
        <w:rPr>
          <w:rFonts w:hint="eastAsia"/>
          <w:b w:val="0"/>
          <w:bCs/>
          <w:sz w:val="28"/>
          <w:szCs w:val="28"/>
          <w:lang w:val="en-US" w:eastAsia="zh-CN"/>
        </w:rPr>
      </w:pPr>
    </w:p>
    <w:p w14:paraId="27EB1F4E">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12"/>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1"/>
        <w:rPr>
          <w:rFonts w:hint="eastAsia"/>
          <w:lang w:val="en-US" w:eastAsia="zh-CN"/>
        </w:rPr>
      </w:pPr>
    </w:p>
    <w:p w14:paraId="2408A761">
      <w:pPr>
        <w:pStyle w:val="8"/>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9"/>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40"/>
        <w:rPr>
          <w:rFonts w:hint="eastAsia"/>
          <w:lang w:val="en-US" w:eastAsia="zh-CN"/>
        </w:rPr>
      </w:pPr>
    </w:p>
    <w:p w14:paraId="349B6D77">
      <w:pPr>
        <w:pStyle w:val="8"/>
        <w:spacing w:before="0" w:after="0"/>
        <w:jc w:val="center"/>
        <w:rPr>
          <w:rFonts w:hint="eastAsia"/>
          <w:color w:val="auto"/>
          <w:sz w:val="28"/>
          <w:highlight w:val="red"/>
          <w:lang w:val="en-US" w:eastAsia="zh-CN"/>
        </w:rPr>
      </w:pPr>
      <w:bookmarkStart w:id="31" w:name="_Toc11982"/>
      <w:bookmarkStart w:id="32" w:name="_Toc23117"/>
    </w:p>
    <w:p w14:paraId="2DADD435">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433BF67C">
      <w:pPr>
        <w:pStyle w:val="7"/>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8"/>
        <w:spacing w:before="0" w:after="0"/>
        <w:jc w:val="center"/>
        <w:rPr>
          <w:rFonts w:hint="eastAsia"/>
          <w:color w:val="auto"/>
          <w:sz w:val="28"/>
          <w:highlight w:val="magenta"/>
          <w:lang w:val="en-US" w:eastAsia="zh-CN"/>
        </w:rPr>
      </w:pPr>
      <w:bookmarkStart w:id="33" w:name="_Toc23816"/>
      <w:bookmarkStart w:id="34" w:name="_Toc20496"/>
    </w:p>
    <w:p w14:paraId="103E0DD2">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8"/>
        <w:bidi w:val="0"/>
        <w:jc w:val="center"/>
        <w:rPr>
          <w:rFonts w:hint="eastAsia"/>
          <w:color w:val="auto"/>
          <w:sz w:val="28"/>
          <w:highlight w:val="magenta"/>
          <w:lang w:val="en-US" w:eastAsia="zh-CN"/>
        </w:rPr>
      </w:pPr>
      <w:bookmarkStart w:id="35" w:name="_Toc4948"/>
      <w:bookmarkStart w:id="36" w:name="_Toc2922"/>
      <w:bookmarkStart w:id="37" w:name="_Toc4599"/>
      <w:bookmarkStart w:id="38" w:name="_Toc12801"/>
      <w:bookmarkStart w:id="39" w:name="_Toc30765"/>
      <w:bookmarkStart w:id="40" w:name="_Toc349642319"/>
      <w:bookmarkStart w:id="41" w:name="_Toc28583"/>
      <w:bookmarkStart w:id="42" w:name="_Toc337475928"/>
      <w:bookmarkStart w:id="43" w:name="_Toc304219331"/>
      <w:bookmarkStart w:id="44" w:name="_Toc15867"/>
      <w:bookmarkStart w:id="45" w:name="_Toc10750"/>
      <w:bookmarkStart w:id="46" w:name="_Toc337554798"/>
      <w:bookmarkStart w:id="47" w:name="_Toc29526"/>
      <w:bookmarkStart w:id="48" w:name="_Toc320878714"/>
    </w:p>
    <w:p w14:paraId="5CC9BA02">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2E2511E9">
      <w:pPr>
        <w:pStyle w:val="7"/>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7"/>
        <w:ind w:left="0" w:leftChars="0" w:firstLine="0" w:firstLineChars="0"/>
        <w:jc w:val="both"/>
        <w:rPr>
          <w:rFonts w:hint="eastAsia"/>
          <w:lang w:val="en-US" w:eastAsia="zh-CN"/>
        </w:rPr>
      </w:pPr>
    </w:p>
    <w:p w14:paraId="673A56C5">
      <w:pPr>
        <w:pStyle w:val="8"/>
        <w:bidi w:val="0"/>
        <w:jc w:val="center"/>
        <w:rPr>
          <w:rFonts w:hint="eastAsia"/>
          <w:sz w:val="28"/>
          <w:szCs w:val="28"/>
        </w:rPr>
      </w:pPr>
      <w:bookmarkStart w:id="49" w:name="_Toc8810"/>
      <w:bookmarkStart w:id="50" w:name="_Toc7716"/>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8"/>
        <w:bidi w:val="0"/>
        <w:jc w:val="center"/>
        <w:rPr>
          <w:rFonts w:hint="eastAsia"/>
          <w:sz w:val="28"/>
          <w:szCs w:val="28"/>
          <w:lang w:val="en-US" w:eastAsia="zh-CN"/>
        </w:rPr>
      </w:pPr>
      <w:bookmarkStart w:id="51" w:name="_Toc11154"/>
      <w:bookmarkStart w:id="52" w:name="_Toc17593"/>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252D0C6D">
      <w:pPr>
        <w:pStyle w:val="8"/>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1A23D87"/>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6352CB"/>
    <w:rsid w:val="237F2B13"/>
    <w:rsid w:val="23D379C3"/>
    <w:rsid w:val="24426B0A"/>
    <w:rsid w:val="245A486E"/>
    <w:rsid w:val="2472601F"/>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1A5C3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CE11E3"/>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876DA6"/>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7"/>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50"/>
    <w:autoRedefine/>
    <w:unhideWhenUsed/>
    <w:qFormat/>
    <w:uiPriority w:val="0"/>
    <w:pPr>
      <w:ind w:firstLine="420" w:firstLineChars="200"/>
    </w:pPr>
  </w:style>
  <w:style w:type="paragraph" w:styleId="13">
    <w:name w:val="annotation text"/>
    <w:basedOn w:val="1"/>
    <w:link w:val="52"/>
    <w:autoRedefine/>
    <w:qFormat/>
    <w:uiPriority w:val="0"/>
    <w:pPr>
      <w:jc w:val="left"/>
    </w:pPr>
    <w:rPr>
      <w:szCs w:val="24"/>
    </w:rPr>
  </w:style>
  <w:style w:type="paragraph" w:styleId="14">
    <w:name w:val="Body Text 3"/>
    <w:basedOn w:val="1"/>
    <w:link w:val="53"/>
    <w:autoRedefine/>
    <w:semiHidden/>
    <w:unhideWhenUsed/>
    <w:qFormat/>
    <w:uiPriority w:val="99"/>
    <w:pPr>
      <w:spacing w:after="120"/>
    </w:pPr>
    <w:rPr>
      <w:sz w:val="16"/>
      <w:szCs w:val="16"/>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page number"/>
    <w:basedOn w:val="33"/>
    <w:qFormat/>
    <w:uiPriority w:val="0"/>
  </w:style>
  <w:style w:type="character" w:styleId="36">
    <w:name w:val="FollowedHyperlink"/>
    <w:basedOn w:val="33"/>
    <w:autoRedefine/>
    <w:semiHidden/>
    <w:unhideWhenUsed/>
    <w:qFormat/>
    <w:uiPriority w:val="99"/>
    <w:rPr>
      <w:color w:val="444444"/>
      <w:sz w:val="21"/>
      <w:szCs w:val="21"/>
      <w:u w:val="none"/>
    </w:rPr>
  </w:style>
  <w:style w:type="character" w:styleId="37">
    <w:name w:val="Hyperlink"/>
    <w:basedOn w:val="33"/>
    <w:autoRedefine/>
    <w:unhideWhenUsed/>
    <w:qFormat/>
    <w:uiPriority w:val="99"/>
    <w:rPr>
      <w:color w:val="0000FF" w:themeColor="hyperlink"/>
      <w:u w:val="single"/>
      <w14:textFill>
        <w14:solidFill>
          <w14:schemeClr w14:val="hlink"/>
        </w14:solidFill>
      </w14:textFill>
    </w:rPr>
  </w:style>
  <w:style w:type="character" w:styleId="38">
    <w:name w:val="HTML Code"/>
    <w:basedOn w:val="33"/>
    <w:autoRedefine/>
    <w:semiHidden/>
    <w:unhideWhenUsed/>
    <w:qFormat/>
    <w:uiPriority w:val="99"/>
    <w:rPr>
      <w:rFonts w:ascii="Courier New" w:hAnsi="Courier New"/>
      <w:sz w:val="20"/>
    </w:rPr>
  </w:style>
  <w:style w:type="character" w:styleId="39">
    <w:name w:val="annotation reference"/>
    <w:basedOn w:val="33"/>
    <w:autoRedefine/>
    <w:semiHidden/>
    <w:unhideWhenUsed/>
    <w:qFormat/>
    <w:uiPriority w:val="99"/>
    <w:rPr>
      <w:sz w:val="21"/>
      <w:szCs w:val="21"/>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3"/>
    <w:link w:val="6"/>
    <w:autoRedefine/>
    <w:qFormat/>
    <w:uiPriority w:val="9"/>
    <w:rPr>
      <w:b/>
      <w:bCs/>
      <w:kern w:val="44"/>
      <w:sz w:val="44"/>
      <w:szCs w:val="44"/>
    </w:rPr>
  </w:style>
  <w:style w:type="character" w:customStyle="1" w:styleId="46">
    <w:name w:val="标题 2 Char"/>
    <w:basedOn w:val="33"/>
    <w:link w:val="7"/>
    <w:autoRedefine/>
    <w:qFormat/>
    <w:uiPriority w:val="0"/>
    <w:rPr>
      <w:rFonts w:ascii="Arial" w:hAnsi="Arial" w:eastAsia="黑体" w:cs="Times New Roman"/>
      <w:b/>
      <w:sz w:val="32"/>
      <w:szCs w:val="20"/>
    </w:rPr>
  </w:style>
  <w:style w:type="character" w:customStyle="1" w:styleId="47">
    <w:name w:val="标题 3 Char"/>
    <w:basedOn w:val="33"/>
    <w:link w:val="8"/>
    <w:autoRedefine/>
    <w:qFormat/>
    <w:uiPriority w:val="9"/>
    <w:rPr>
      <w:b/>
      <w:bCs/>
      <w:sz w:val="32"/>
      <w:szCs w:val="32"/>
    </w:rPr>
  </w:style>
  <w:style w:type="character" w:customStyle="1" w:styleId="48">
    <w:name w:val="标题 4 Char"/>
    <w:basedOn w:val="33"/>
    <w:link w:val="10"/>
    <w:autoRedefine/>
    <w:qFormat/>
    <w:uiPriority w:val="9"/>
    <w:rPr>
      <w:rFonts w:asciiTheme="majorHAnsi" w:hAnsiTheme="majorHAnsi" w:eastAsiaTheme="majorEastAsia" w:cstheme="majorBidi"/>
      <w:b/>
      <w:bCs/>
      <w:sz w:val="28"/>
      <w:szCs w:val="28"/>
    </w:rPr>
  </w:style>
  <w:style w:type="paragraph" w:customStyle="1" w:styleId="49">
    <w:name w:val="样式1"/>
    <w:basedOn w:val="22"/>
    <w:next w:val="10"/>
    <w:autoRedefine/>
    <w:qFormat/>
    <w:uiPriority w:val="0"/>
    <w:pPr>
      <w:tabs>
        <w:tab w:val="left" w:pos="425"/>
      </w:tabs>
      <w:ind w:left="425" w:hanging="425"/>
    </w:pPr>
  </w:style>
  <w:style w:type="character" w:customStyle="1" w:styleId="50">
    <w:name w:val="正文缩进 Char"/>
    <w:link w:val="12"/>
    <w:autoRedefine/>
    <w:qFormat/>
    <w:uiPriority w:val="0"/>
  </w:style>
  <w:style w:type="character" w:customStyle="1" w:styleId="51">
    <w:name w:val="标题 8 Char"/>
    <w:basedOn w:val="33"/>
    <w:link w:val="11"/>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3"/>
    <w:autoRedefine/>
    <w:qFormat/>
    <w:uiPriority w:val="0"/>
    <w:rPr>
      <w:szCs w:val="24"/>
    </w:rPr>
  </w:style>
  <w:style w:type="character" w:customStyle="1" w:styleId="53">
    <w:name w:val="正文文本 3 Char"/>
    <w:basedOn w:val="33"/>
    <w:link w:val="14"/>
    <w:autoRedefine/>
    <w:semiHidden/>
    <w:qFormat/>
    <w:uiPriority w:val="99"/>
    <w:rPr>
      <w:sz w:val="16"/>
      <w:szCs w:val="16"/>
    </w:rPr>
  </w:style>
  <w:style w:type="character" w:customStyle="1" w:styleId="54">
    <w:name w:val="正文文本 Char"/>
    <w:basedOn w:val="33"/>
    <w:link w:val="3"/>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3"/>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3"/>
    <w:link w:val="19"/>
    <w:autoRedefine/>
    <w:semiHidden/>
    <w:qFormat/>
    <w:uiPriority w:val="99"/>
    <w:rPr>
      <w:kern w:val="2"/>
      <w:sz w:val="21"/>
      <w:szCs w:val="22"/>
    </w:rPr>
  </w:style>
  <w:style w:type="character" w:customStyle="1" w:styleId="58">
    <w:name w:val="页脚 Char"/>
    <w:basedOn w:val="33"/>
    <w:link w:val="21"/>
    <w:autoRedefine/>
    <w:qFormat/>
    <w:uiPriority w:val="99"/>
    <w:rPr>
      <w:sz w:val="18"/>
      <w:szCs w:val="18"/>
    </w:rPr>
  </w:style>
  <w:style w:type="character" w:customStyle="1" w:styleId="59">
    <w:name w:val="页眉 Char"/>
    <w:basedOn w:val="33"/>
    <w:link w:val="22"/>
    <w:autoRedefine/>
    <w:qFormat/>
    <w:uiPriority w:val="99"/>
    <w:rPr>
      <w:sz w:val="18"/>
      <w:szCs w:val="18"/>
    </w:rPr>
  </w:style>
  <w:style w:type="character" w:customStyle="1" w:styleId="60">
    <w:name w:val="副标题 Char"/>
    <w:basedOn w:val="33"/>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3"/>
    <w:autoRedefine/>
    <w:semiHidden/>
    <w:qFormat/>
    <w:uiPriority w:val="99"/>
  </w:style>
  <w:style w:type="character" w:customStyle="1" w:styleId="65">
    <w:name w:val="纯文本 Char1"/>
    <w:basedOn w:val="33"/>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3"/>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3"/>
    <w:autoRedefine/>
    <w:qFormat/>
    <w:uiPriority w:val="0"/>
  </w:style>
  <w:style w:type="character" w:customStyle="1" w:styleId="145">
    <w:name w:val="hover17"/>
    <w:basedOn w:val="33"/>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3"/>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3"/>
    <w:autoRedefine/>
    <w:qFormat/>
    <w:uiPriority w:val="0"/>
    <w:rPr>
      <w:shd w:val="clear" w:fill="2D4F80"/>
    </w:rPr>
  </w:style>
  <w:style w:type="character" w:customStyle="1" w:styleId="160">
    <w:name w:val="first-child"/>
    <w:basedOn w:val="33"/>
    <w:autoRedefine/>
    <w:qFormat/>
    <w:uiPriority w:val="0"/>
    <w:rPr>
      <w:rFonts w:ascii="Arial" w:hAnsi="Arial" w:cs="Arial"/>
      <w:sz w:val="57"/>
      <w:szCs w:val="57"/>
    </w:rPr>
  </w:style>
  <w:style w:type="character" w:customStyle="1" w:styleId="161">
    <w:name w:val="first-child1"/>
    <w:basedOn w:val="33"/>
    <w:autoRedefine/>
    <w:qFormat/>
    <w:uiPriority w:val="0"/>
    <w:rPr>
      <w:color w:val="999999"/>
    </w:rPr>
  </w:style>
  <w:style w:type="character" w:customStyle="1" w:styleId="162">
    <w:name w:val="first-child2"/>
    <w:basedOn w:val="33"/>
    <w:autoRedefine/>
    <w:qFormat/>
    <w:uiPriority w:val="0"/>
    <w:rPr>
      <w:sz w:val="24"/>
      <w:szCs w:val="24"/>
    </w:rPr>
  </w:style>
  <w:style w:type="character" w:customStyle="1" w:styleId="163">
    <w:name w:val="first-child3"/>
    <w:basedOn w:val="33"/>
    <w:autoRedefine/>
    <w:qFormat/>
    <w:uiPriority w:val="0"/>
    <w:rPr>
      <w:sz w:val="24"/>
      <w:szCs w:val="24"/>
      <w:bdr w:val="single" w:color="DEE3E9" w:sz="6" w:space="0"/>
    </w:rPr>
  </w:style>
  <w:style w:type="paragraph" w:customStyle="1" w:styleId="164">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4837</Words>
  <Characters>5048</Characters>
  <Lines>315</Lines>
  <Paragraphs>88</Paragraphs>
  <TotalTime>0</TotalTime>
  <ScaleCrop>false</ScaleCrop>
  <LinksUpToDate>false</LinksUpToDate>
  <CharactersWithSpaces>5652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2024-12-31T01:02:24Z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1C3AE61BB0A441F8B9BA6E671996FAA7_13</vt:lpwstr>
  </property>
  <property fmtid="{D5CDD505-2E9C-101B-9397-08002B2CF9AE}" pid="4" name="KSOTemplateDocerSaveRecord">
    <vt:lpwstr>eyJoZGlkIjoiMTUyMDA2ZjQ4N2YyNDAzZWJjY2U2NWNkZDY5ZDY4ZDAiLCJ1c2VySWQiOiI2OTIxMTkxNTcifQ==</vt:lpwstr>
  </property>
</Properties>
</file>