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河南省胸科医院支气管镜保修采购项目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003</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0DAD2A6E">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w:t>
      </w:r>
      <w:r>
        <w:rPr>
          <w:rFonts w:hint="eastAsia" w:ascii="宋体" w:hAnsi="宋体" w:eastAsiaTheme="minorEastAsia" w:cstheme="minorBidi"/>
          <w:b/>
          <w:bCs/>
          <w:kern w:val="44"/>
          <w:sz w:val="28"/>
          <w:szCs w:val="28"/>
          <w:lang w:val="en-US" w:eastAsia="zh-CN" w:bidi="ar-SA"/>
        </w:rPr>
        <w:t xml:space="preserve">支气管镜保修采购项目 </w:t>
      </w:r>
      <w:r>
        <w:rPr>
          <w:rFonts w:hint="eastAsia" w:ascii="宋体" w:hAnsi="宋体" w:eastAsiaTheme="minorEastAsia" w:cstheme="minorBidi"/>
          <w:b/>
          <w:bCs/>
          <w:kern w:val="44"/>
          <w:sz w:val="28"/>
          <w:szCs w:val="28"/>
          <w:lang w:val="en-US" w:eastAsia="zh-CN" w:bidi="ar-SA"/>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河南省胸科医院支气管镜保修采购项目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支气管镜保修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40</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776C5A27"/>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0A372FC">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04E45B91">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56B54D8">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6B8BD7A6">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38B68FEB">
            <w:pPr>
              <w:pStyle w:val="29"/>
              <w:rPr>
                <w:rFonts w:hint="eastAsia"/>
                <w:highlight w:val="none"/>
                <w:lang w:val="en-US" w:eastAsia="zh-CN"/>
              </w:rPr>
            </w:pPr>
          </w:p>
          <w:p w14:paraId="21CC7E3C">
            <w:pPr>
              <w:spacing w:line="360" w:lineRule="auto"/>
              <w:ind w:firstLine="240" w:firstLineChars="100"/>
              <w:jc w:val="left"/>
              <w:rPr>
                <w:rFonts w:hint="eastAsia" w:ascii="宋体" w:hAnsi="宋体"/>
                <w:sz w:val="24"/>
                <w:highlight w:val="none"/>
                <w:lang w:val="en-US" w:eastAsia="zh-CN"/>
              </w:rPr>
            </w:pPr>
          </w:p>
          <w:p w14:paraId="125FE6A9">
            <w:pPr>
              <w:spacing w:line="360" w:lineRule="auto"/>
              <w:ind w:firstLine="240" w:firstLineChars="100"/>
              <w:jc w:val="left"/>
              <w:rPr>
                <w:rFonts w:hint="eastAsia" w:ascii="宋体" w:hAnsi="宋体"/>
                <w:sz w:val="24"/>
                <w:highlight w:val="none"/>
                <w:lang w:val="en-US" w:eastAsia="zh-CN"/>
              </w:rPr>
            </w:pPr>
          </w:p>
          <w:p w14:paraId="4C157923">
            <w:pPr>
              <w:pStyle w:val="29"/>
              <w:rPr>
                <w:rFonts w:hint="eastAsia"/>
                <w:highlight w:val="none"/>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69D2174">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现场议价，地点详见附件</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1DA7F422">
      <w:pPr>
        <w:widowControl/>
        <w:spacing w:line="360" w:lineRule="auto"/>
        <w:jc w:val="left"/>
        <w:rPr>
          <w:rFonts w:hint="eastAsia" w:ascii="宋体" w:hAnsi="宋体"/>
          <w:bCs/>
          <w:szCs w:val="24"/>
        </w:rPr>
      </w:pPr>
      <w:r>
        <w:rPr>
          <w:rFonts w:hint="eastAsia" w:ascii="宋体" w:hAnsi="宋体"/>
          <w:b/>
          <w:bCs/>
          <w:sz w:val="24"/>
          <w:lang w:val="en-US" w:eastAsia="zh-CN"/>
        </w:rPr>
        <w:t xml:space="preserve"> </w:t>
      </w:r>
      <w:r>
        <w:rPr>
          <w:rFonts w:hint="eastAsia" w:ascii="宋体" w:hAnsi="宋体" w:cs="宋体"/>
          <w:b/>
          <w:bCs/>
          <w:kern w:val="0"/>
          <w:sz w:val="24"/>
          <w:lang w:bidi="zh-CN"/>
        </w:rPr>
        <w:t>一、技术要求</w:t>
      </w:r>
    </w:p>
    <w:p w14:paraId="0405BE95">
      <w:pPr>
        <w:spacing w:line="520" w:lineRule="exact"/>
        <w:ind w:firstLine="420" w:firstLineChars="200"/>
        <w:rPr>
          <w:rFonts w:hint="eastAsia" w:ascii="宋体" w:hAnsi="宋体"/>
          <w:bCs/>
          <w:szCs w:val="24"/>
        </w:rPr>
      </w:pPr>
      <w:r>
        <w:rPr>
          <w:rFonts w:hint="eastAsia" w:ascii="宋体" w:hAnsi="宋体"/>
          <w:bCs/>
          <w:szCs w:val="24"/>
        </w:rPr>
        <w:t>1.保修设备信息：电子内镜</w:t>
      </w:r>
      <w:r>
        <w:rPr>
          <w:rFonts w:hint="eastAsia" w:ascii="宋体" w:hAnsi="宋体"/>
          <w:bCs/>
          <w:szCs w:val="24"/>
          <w:lang w:val="en-US" w:eastAsia="zh-CN"/>
        </w:rPr>
        <w:t>4</w:t>
      </w:r>
      <w:r>
        <w:rPr>
          <w:rFonts w:hint="eastAsia" w:ascii="宋体" w:hAnsi="宋体"/>
          <w:bCs/>
          <w:szCs w:val="24"/>
        </w:rPr>
        <w:t>条，保修年限：3年，内镜信息见下表：</w:t>
      </w:r>
    </w:p>
    <w:tbl>
      <w:tblPr>
        <w:tblStyle w:val="31"/>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175"/>
        <w:gridCol w:w="1763"/>
        <w:gridCol w:w="2137"/>
      </w:tblGrid>
      <w:tr w14:paraId="4D26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6" w:type="dxa"/>
            <w:shd w:val="clear" w:color="auto" w:fill="auto"/>
            <w:noWrap w:val="0"/>
            <w:vAlign w:val="center"/>
          </w:tcPr>
          <w:p w14:paraId="30C7DEA4">
            <w:pPr>
              <w:widowControl/>
              <w:snapToGrid w:val="0"/>
              <w:spacing w:before="60" w:after="60"/>
              <w:jc w:val="center"/>
              <w:rPr>
                <w:rFonts w:ascii="宋体" w:hAnsi="宋体"/>
                <w:b/>
                <w:bCs/>
                <w:szCs w:val="21"/>
              </w:rPr>
            </w:pPr>
            <w:r>
              <w:rPr>
                <w:rFonts w:hint="eastAsia" w:ascii="宋体" w:hAnsi="宋体"/>
                <w:b/>
                <w:bCs/>
                <w:szCs w:val="21"/>
              </w:rPr>
              <w:t>序号</w:t>
            </w:r>
          </w:p>
        </w:tc>
        <w:tc>
          <w:tcPr>
            <w:tcW w:w="2175" w:type="dxa"/>
            <w:shd w:val="clear" w:color="auto" w:fill="auto"/>
            <w:noWrap w:val="0"/>
            <w:vAlign w:val="center"/>
          </w:tcPr>
          <w:p w14:paraId="02E9E6A3">
            <w:pPr>
              <w:widowControl/>
              <w:snapToGrid w:val="0"/>
              <w:spacing w:before="60" w:after="60"/>
              <w:jc w:val="center"/>
              <w:rPr>
                <w:rFonts w:hint="eastAsia" w:ascii="宋体" w:hAnsi="宋体" w:eastAsia="宋体"/>
                <w:b/>
                <w:bCs/>
                <w:szCs w:val="21"/>
                <w:lang w:eastAsia="zh-CN"/>
              </w:rPr>
            </w:pPr>
            <w:r>
              <w:rPr>
                <w:rFonts w:hint="eastAsia" w:ascii="宋体" w:hAnsi="宋体"/>
                <w:b/>
                <w:bCs/>
                <w:szCs w:val="21"/>
                <w:lang w:val="en-US" w:eastAsia="zh-CN"/>
              </w:rPr>
              <w:t>名称</w:t>
            </w:r>
          </w:p>
        </w:tc>
        <w:tc>
          <w:tcPr>
            <w:tcW w:w="1763" w:type="dxa"/>
            <w:shd w:val="clear" w:color="auto" w:fill="auto"/>
            <w:noWrap w:val="0"/>
            <w:vAlign w:val="center"/>
          </w:tcPr>
          <w:p w14:paraId="50BE5A7D">
            <w:pPr>
              <w:widowControl/>
              <w:snapToGrid w:val="0"/>
              <w:spacing w:before="60" w:after="60"/>
              <w:jc w:val="center"/>
              <w:rPr>
                <w:rFonts w:ascii="宋体" w:hAnsi="宋体"/>
                <w:b/>
                <w:bCs/>
                <w:szCs w:val="21"/>
              </w:rPr>
            </w:pPr>
            <w:r>
              <w:rPr>
                <w:rFonts w:hint="eastAsia" w:ascii="宋体" w:hAnsi="宋体"/>
                <w:b/>
                <w:bCs/>
                <w:szCs w:val="21"/>
              </w:rPr>
              <w:t>型号</w:t>
            </w:r>
          </w:p>
        </w:tc>
        <w:tc>
          <w:tcPr>
            <w:tcW w:w="2137" w:type="dxa"/>
            <w:shd w:val="clear" w:color="auto" w:fill="auto"/>
            <w:noWrap w:val="0"/>
            <w:vAlign w:val="center"/>
          </w:tcPr>
          <w:p w14:paraId="2016AFE9">
            <w:pPr>
              <w:widowControl/>
              <w:snapToGrid w:val="0"/>
              <w:spacing w:before="60" w:after="60"/>
              <w:jc w:val="center"/>
              <w:rPr>
                <w:rFonts w:ascii="宋体" w:hAnsi="宋体"/>
                <w:b/>
                <w:bCs/>
                <w:szCs w:val="21"/>
              </w:rPr>
            </w:pPr>
            <w:r>
              <w:rPr>
                <w:rFonts w:hint="eastAsia" w:ascii="宋体" w:hAnsi="宋体"/>
                <w:b/>
                <w:bCs/>
                <w:szCs w:val="21"/>
              </w:rPr>
              <w:t>机身号</w:t>
            </w:r>
          </w:p>
        </w:tc>
      </w:tr>
      <w:tr w14:paraId="1CE0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6" w:type="dxa"/>
            <w:shd w:val="clear" w:color="auto" w:fill="auto"/>
            <w:noWrap w:val="0"/>
            <w:vAlign w:val="center"/>
          </w:tcPr>
          <w:p w14:paraId="3A38BDA1">
            <w:pPr>
              <w:widowControl/>
              <w:snapToGrid w:val="0"/>
              <w:spacing w:before="60" w:after="60"/>
              <w:jc w:val="center"/>
              <w:rPr>
                <w:rFonts w:hint="eastAsia" w:ascii="宋体" w:hAnsi="宋体"/>
                <w:szCs w:val="21"/>
              </w:rPr>
            </w:pPr>
            <w:r>
              <w:rPr>
                <w:rFonts w:hint="eastAsia" w:ascii="宋体" w:hAnsi="宋体"/>
                <w:szCs w:val="21"/>
              </w:rPr>
              <w:t>1</w:t>
            </w:r>
          </w:p>
        </w:tc>
        <w:tc>
          <w:tcPr>
            <w:tcW w:w="2175" w:type="dxa"/>
            <w:shd w:val="clear" w:color="auto" w:fill="auto"/>
            <w:noWrap w:val="0"/>
            <w:vAlign w:val="center"/>
          </w:tcPr>
          <w:p w14:paraId="64FF991E">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20026BA9">
            <w:pPr>
              <w:widowControl/>
              <w:snapToGrid w:val="0"/>
              <w:spacing w:before="60" w:after="60"/>
              <w:jc w:val="center"/>
              <w:rPr>
                <w:rFonts w:hint="eastAsia" w:ascii="宋体" w:hAnsi="宋体" w:eastAsia="宋体"/>
                <w:szCs w:val="21"/>
                <w:lang w:val="en-US" w:eastAsia="zh-CN"/>
              </w:rPr>
            </w:pPr>
            <w:r>
              <w:rPr>
                <w:rFonts w:hint="eastAsia" w:ascii="宋体" w:hAnsi="宋体"/>
                <w:szCs w:val="21"/>
                <w:lang w:val="en-US" w:eastAsia="zh-CN"/>
              </w:rPr>
              <w:t>BF-Q290</w:t>
            </w:r>
          </w:p>
        </w:tc>
        <w:tc>
          <w:tcPr>
            <w:tcW w:w="2137" w:type="dxa"/>
            <w:shd w:val="clear" w:color="auto" w:fill="auto"/>
            <w:noWrap w:val="0"/>
            <w:vAlign w:val="center"/>
          </w:tcPr>
          <w:p w14:paraId="78E94763">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2122531</w:t>
            </w:r>
          </w:p>
        </w:tc>
      </w:tr>
      <w:tr w14:paraId="089B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86" w:type="dxa"/>
            <w:shd w:val="clear" w:color="auto" w:fill="auto"/>
            <w:noWrap w:val="0"/>
            <w:vAlign w:val="center"/>
          </w:tcPr>
          <w:p w14:paraId="49ED2ECC">
            <w:pPr>
              <w:widowControl/>
              <w:snapToGrid w:val="0"/>
              <w:spacing w:before="60" w:after="60"/>
              <w:jc w:val="center"/>
              <w:rPr>
                <w:rFonts w:hint="eastAsia" w:ascii="宋体" w:hAnsi="宋体"/>
                <w:szCs w:val="21"/>
              </w:rPr>
            </w:pPr>
            <w:r>
              <w:rPr>
                <w:rFonts w:hint="eastAsia" w:ascii="宋体" w:hAnsi="宋体"/>
                <w:szCs w:val="21"/>
              </w:rPr>
              <w:t>2</w:t>
            </w:r>
          </w:p>
        </w:tc>
        <w:tc>
          <w:tcPr>
            <w:tcW w:w="2175" w:type="dxa"/>
            <w:shd w:val="clear" w:color="auto" w:fill="auto"/>
            <w:noWrap w:val="0"/>
            <w:vAlign w:val="center"/>
          </w:tcPr>
          <w:p w14:paraId="1EF824E8">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28F79D1A">
            <w:pPr>
              <w:widowControl/>
              <w:snapToGrid w:val="0"/>
              <w:spacing w:before="60" w:after="60"/>
              <w:jc w:val="center"/>
              <w:rPr>
                <w:rFonts w:hint="eastAsia" w:ascii="宋体" w:hAnsi="宋体"/>
                <w:szCs w:val="21"/>
              </w:rPr>
            </w:pPr>
            <w:r>
              <w:rPr>
                <w:rFonts w:hint="eastAsia" w:ascii="宋体" w:hAnsi="宋体"/>
                <w:szCs w:val="21"/>
                <w:lang w:val="en-US" w:eastAsia="zh-CN"/>
              </w:rPr>
              <w:t>BF-Q290</w:t>
            </w:r>
          </w:p>
        </w:tc>
        <w:tc>
          <w:tcPr>
            <w:tcW w:w="2137" w:type="dxa"/>
            <w:shd w:val="clear" w:color="auto" w:fill="auto"/>
            <w:noWrap w:val="0"/>
            <w:vAlign w:val="center"/>
          </w:tcPr>
          <w:p w14:paraId="1F35A11D">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2122526</w:t>
            </w:r>
          </w:p>
        </w:tc>
      </w:tr>
      <w:tr w14:paraId="77D1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6" w:type="dxa"/>
            <w:shd w:val="clear" w:color="auto" w:fill="auto"/>
            <w:noWrap w:val="0"/>
            <w:vAlign w:val="center"/>
          </w:tcPr>
          <w:p w14:paraId="54A3F960">
            <w:pPr>
              <w:widowControl/>
              <w:snapToGrid w:val="0"/>
              <w:spacing w:before="60" w:after="60"/>
              <w:jc w:val="center"/>
              <w:rPr>
                <w:rFonts w:hint="eastAsia" w:ascii="宋体" w:hAnsi="宋体"/>
                <w:szCs w:val="21"/>
              </w:rPr>
            </w:pPr>
            <w:r>
              <w:rPr>
                <w:rFonts w:hint="eastAsia" w:ascii="宋体" w:hAnsi="宋体"/>
                <w:szCs w:val="21"/>
              </w:rPr>
              <w:t>3</w:t>
            </w:r>
          </w:p>
        </w:tc>
        <w:tc>
          <w:tcPr>
            <w:tcW w:w="2175" w:type="dxa"/>
            <w:shd w:val="clear" w:color="auto" w:fill="auto"/>
            <w:noWrap w:val="0"/>
            <w:vAlign w:val="center"/>
          </w:tcPr>
          <w:p w14:paraId="0772C5D3">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5A7C0FB5">
            <w:pPr>
              <w:widowControl/>
              <w:snapToGrid w:val="0"/>
              <w:spacing w:before="60" w:after="60"/>
              <w:jc w:val="center"/>
              <w:rPr>
                <w:rFonts w:hint="eastAsia" w:ascii="宋体" w:hAnsi="宋体"/>
                <w:szCs w:val="21"/>
              </w:rPr>
            </w:pPr>
            <w:r>
              <w:rPr>
                <w:rFonts w:hint="eastAsia" w:ascii="宋体" w:hAnsi="宋体"/>
                <w:szCs w:val="21"/>
                <w:lang w:val="en-US" w:eastAsia="zh-CN"/>
              </w:rPr>
              <w:t>BF-1TQ290</w:t>
            </w:r>
          </w:p>
        </w:tc>
        <w:tc>
          <w:tcPr>
            <w:tcW w:w="2137" w:type="dxa"/>
            <w:shd w:val="clear" w:color="auto" w:fill="auto"/>
            <w:noWrap w:val="0"/>
            <w:vAlign w:val="center"/>
          </w:tcPr>
          <w:p w14:paraId="04699B37">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2122758</w:t>
            </w:r>
          </w:p>
        </w:tc>
      </w:tr>
      <w:tr w14:paraId="28C0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6" w:type="dxa"/>
            <w:shd w:val="clear" w:color="auto" w:fill="auto"/>
            <w:noWrap w:val="0"/>
            <w:vAlign w:val="center"/>
          </w:tcPr>
          <w:p w14:paraId="7B689DBC">
            <w:pPr>
              <w:widowControl/>
              <w:snapToGrid w:val="0"/>
              <w:spacing w:before="60" w:after="60"/>
              <w:jc w:val="center"/>
              <w:rPr>
                <w:rFonts w:hint="eastAsia" w:ascii="宋体" w:hAnsi="宋体"/>
                <w:szCs w:val="21"/>
              </w:rPr>
            </w:pPr>
            <w:r>
              <w:rPr>
                <w:rFonts w:hint="eastAsia" w:ascii="宋体" w:hAnsi="宋体"/>
                <w:szCs w:val="21"/>
              </w:rPr>
              <w:t>4</w:t>
            </w:r>
          </w:p>
        </w:tc>
        <w:tc>
          <w:tcPr>
            <w:tcW w:w="2175" w:type="dxa"/>
            <w:shd w:val="clear" w:color="auto" w:fill="auto"/>
            <w:noWrap w:val="0"/>
            <w:vAlign w:val="center"/>
          </w:tcPr>
          <w:p w14:paraId="6328F694">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5CF610FF">
            <w:pPr>
              <w:widowControl/>
              <w:snapToGrid w:val="0"/>
              <w:spacing w:before="60" w:after="60"/>
              <w:jc w:val="center"/>
              <w:rPr>
                <w:rFonts w:hint="eastAsia" w:ascii="宋体" w:hAnsi="宋体"/>
                <w:szCs w:val="21"/>
              </w:rPr>
            </w:pPr>
            <w:r>
              <w:rPr>
                <w:rFonts w:hint="eastAsia" w:ascii="宋体" w:hAnsi="宋体"/>
                <w:szCs w:val="21"/>
              </w:rPr>
              <w:t>BF-F260</w:t>
            </w:r>
          </w:p>
        </w:tc>
        <w:tc>
          <w:tcPr>
            <w:tcW w:w="2137" w:type="dxa"/>
            <w:shd w:val="clear" w:color="auto" w:fill="auto"/>
            <w:noWrap w:val="0"/>
            <w:vAlign w:val="center"/>
          </w:tcPr>
          <w:p w14:paraId="1B10D4F8">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2251517</w:t>
            </w:r>
          </w:p>
        </w:tc>
      </w:tr>
    </w:tbl>
    <w:p w14:paraId="132F6085">
      <w:pPr>
        <w:spacing w:line="520" w:lineRule="exact"/>
        <w:ind w:firstLine="420" w:firstLineChars="200"/>
        <w:rPr>
          <w:rFonts w:hint="eastAsia" w:ascii="宋体" w:hAnsi="宋体"/>
          <w:bCs/>
          <w:szCs w:val="24"/>
        </w:rPr>
      </w:pPr>
      <w:r>
        <w:rPr>
          <w:rFonts w:hint="eastAsia" w:ascii="宋体" w:hAnsi="宋体"/>
          <w:bCs/>
          <w:szCs w:val="24"/>
        </w:rPr>
        <w:t>2.保修服务范围：整机全保。（包括但不限于维修服务所涉及的备件费、人工费、交通差旅费等，保修期内不再产生其他费用）</w:t>
      </w:r>
    </w:p>
    <w:p w14:paraId="4A11B394">
      <w:pPr>
        <w:spacing w:line="520" w:lineRule="exact"/>
        <w:ind w:firstLine="420" w:firstLineChars="200"/>
        <w:rPr>
          <w:rFonts w:hint="eastAsia" w:ascii="宋体" w:hAnsi="宋体"/>
          <w:bCs/>
          <w:szCs w:val="24"/>
        </w:rPr>
      </w:pPr>
      <w:r>
        <w:rPr>
          <w:rFonts w:hint="eastAsia" w:ascii="宋体" w:hAnsi="宋体"/>
          <w:bCs/>
          <w:szCs w:val="24"/>
        </w:rPr>
        <w:t>3.保养与检查：</w:t>
      </w:r>
    </w:p>
    <w:p w14:paraId="12D820D6">
      <w:pPr>
        <w:spacing w:line="520" w:lineRule="exact"/>
        <w:ind w:firstLine="420" w:firstLineChars="200"/>
        <w:rPr>
          <w:rFonts w:hint="eastAsia" w:ascii="宋体" w:hAnsi="宋体"/>
          <w:bCs/>
          <w:szCs w:val="24"/>
        </w:rPr>
      </w:pPr>
      <w:r>
        <w:rPr>
          <w:rFonts w:hint="eastAsia" w:ascii="宋体" w:hAnsi="宋体"/>
          <w:bCs/>
          <w:szCs w:val="24"/>
        </w:rPr>
        <w:t>3.1.每年≥2次设备除尘保养。包含但不限于性能测试、除尘保养、运行状态检查、影像质量检查、机械或电气检查以及设备清洁等，排除一切安全隐患及潜在的故障因素。维修保养后的设备性能指标应与该机器生产厂家提供的性能指标相符。每次对设备进行维修保养时需通知医院工程师，且最后一个月需在有医院工程师陪同的情况下对设备进行全面保养。</w:t>
      </w:r>
    </w:p>
    <w:p w14:paraId="1E1B3E09">
      <w:pPr>
        <w:spacing w:line="520" w:lineRule="exact"/>
        <w:ind w:firstLine="420" w:firstLineChars="200"/>
        <w:rPr>
          <w:rFonts w:ascii="宋体" w:hAnsi="宋体"/>
          <w:bCs/>
          <w:szCs w:val="24"/>
        </w:rPr>
      </w:pPr>
      <w:r>
        <w:rPr>
          <w:rFonts w:hint="eastAsia" w:ascii="宋体" w:hAnsi="宋体"/>
          <w:bCs/>
          <w:szCs w:val="24"/>
        </w:rPr>
        <w:t>3.2.每次维护保养后，提供详细服务报告。</w:t>
      </w:r>
    </w:p>
    <w:p w14:paraId="1C817BA9">
      <w:pPr>
        <w:spacing w:line="520" w:lineRule="exact"/>
        <w:ind w:firstLine="420" w:firstLineChars="200"/>
        <w:rPr>
          <w:rFonts w:hint="eastAsia" w:ascii="宋体" w:hAnsi="宋体"/>
          <w:bCs/>
          <w:szCs w:val="24"/>
        </w:rPr>
      </w:pPr>
      <w:r>
        <w:rPr>
          <w:rFonts w:hint="eastAsia" w:ascii="宋体" w:hAnsi="宋体"/>
          <w:bCs/>
          <w:szCs w:val="24"/>
        </w:rPr>
        <w:t>4.维修：</w:t>
      </w:r>
    </w:p>
    <w:p w14:paraId="14EDD1FE">
      <w:pPr>
        <w:spacing w:line="520" w:lineRule="exact"/>
        <w:ind w:firstLine="420" w:firstLineChars="200"/>
        <w:rPr>
          <w:rFonts w:hint="eastAsia" w:ascii="宋体" w:hAnsi="宋体"/>
          <w:bCs/>
          <w:szCs w:val="24"/>
        </w:rPr>
      </w:pPr>
      <w:r>
        <w:rPr>
          <w:rFonts w:hint="eastAsia" w:ascii="宋体" w:hAnsi="宋体"/>
          <w:bCs/>
          <w:szCs w:val="24"/>
        </w:rPr>
        <w:t>4.1.保修期内提供无限次免费工时及派工、无限次现场维修、原厂零备件更换。</w:t>
      </w:r>
    </w:p>
    <w:p w14:paraId="22DA68EA">
      <w:pPr>
        <w:spacing w:line="520" w:lineRule="exact"/>
        <w:ind w:firstLine="420" w:firstLineChars="200"/>
        <w:rPr>
          <w:rFonts w:hint="eastAsia" w:ascii="宋体" w:hAnsi="宋体"/>
          <w:bCs/>
          <w:szCs w:val="24"/>
        </w:rPr>
      </w:pPr>
      <w:r>
        <w:rPr>
          <w:rFonts w:hint="eastAsia" w:ascii="宋体" w:hAnsi="宋体"/>
          <w:bCs/>
          <w:szCs w:val="24"/>
        </w:rPr>
        <w:t>4.2.具有7×24小时免费服务热线，技术专家提供远程在线技术咨询和维修诊断。接到故障报修电话后1小时内响应，</w:t>
      </w:r>
      <w:r>
        <w:rPr>
          <w:rFonts w:hint="eastAsia" w:ascii="宋体" w:hAnsi="宋体"/>
          <w:bCs/>
          <w:szCs w:val="24"/>
          <w:lang w:val="en-US" w:eastAsia="zh-CN"/>
        </w:rPr>
        <w:t>24</w:t>
      </w:r>
      <w:r>
        <w:rPr>
          <w:rFonts w:hint="eastAsia" w:ascii="宋体" w:hAnsi="宋体"/>
          <w:bCs/>
          <w:szCs w:val="24"/>
        </w:rPr>
        <w:t>小时内需到达现场进行维修。</w:t>
      </w:r>
    </w:p>
    <w:p w14:paraId="7657BBEC">
      <w:pPr>
        <w:spacing w:line="520" w:lineRule="exact"/>
        <w:ind w:firstLine="420" w:firstLineChars="200"/>
        <w:rPr>
          <w:rFonts w:hint="eastAsia" w:ascii="宋体" w:hAnsi="宋体"/>
          <w:bCs/>
          <w:szCs w:val="24"/>
        </w:rPr>
      </w:pPr>
      <w:r>
        <w:rPr>
          <w:rFonts w:hint="eastAsia" w:ascii="宋体" w:hAnsi="宋体"/>
          <w:bCs/>
          <w:szCs w:val="24"/>
        </w:rPr>
        <w:t>4.3.每次维修后测试，保证维修及更换备件后，达到设备的正常运行标准要求。</w:t>
      </w:r>
    </w:p>
    <w:p w14:paraId="1ACC970D">
      <w:pPr>
        <w:spacing w:line="520" w:lineRule="exact"/>
        <w:ind w:firstLine="420" w:firstLineChars="200"/>
        <w:rPr>
          <w:rFonts w:hint="eastAsia" w:ascii="宋体" w:hAnsi="宋体"/>
          <w:bCs/>
          <w:szCs w:val="24"/>
        </w:rPr>
      </w:pPr>
      <w:r>
        <w:rPr>
          <w:rFonts w:hint="eastAsia" w:ascii="宋体" w:hAnsi="宋体"/>
          <w:bCs/>
          <w:szCs w:val="24"/>
        </w:rPr>
        <w:t>4.4.维修时直接更换原厂配件，不对备件做修补性维修。</w:t>
      </w:r>
    </w:p>
    <w:p w14:paraId="4989D605">
      <w:pPr>
        <w:spacing w:line="520" w:lineRule="exact"/>
        <w:ind w:firstLine="420" w:firstLineChars="200"/>
        <w:rPr>
          <w:rFonts w:hint="eastAsia" w:ascii="宋体" w:hAnsi="宋体" w:eastAsia="宋体"/>
          <w:bCs/>
          <w:szCs w:val="24"/>
          <w:lang w:eastAsia="zh-CN"/>
        </w:rPr>
      </w:pPr>
      <w:r>
        <w:rPr>
          <w:rFonts w:hint="eastAsia" w:ascii="宋体" w:hAnsi="宋体"/>
          <w:bCs/>
          <w:szCs w:val="24"/>
        </w:rPr>
        <w:t>4.5.每次维修后提供维修报告，至少包含故障现象、解决方案、配件更换记录等内容</w:t>
      </w:r>
      <w:r>
        <w:rPr>
          <w:rFonts w:hint="eastAsia" w:ascii="宋体" w:hAnsi="宋体"/>
          <w:bCs/>
          <w:szCs w:val="24"/>
          <w:lang w:eastAsia="zh-CN"/>
        </w:rPr>
        <w:t>。</w:t>
      </w:r>
    </w:p>
    <w:p w14:paraId="0210F6C5">
      <w:pPr>
        <w:spacing w:line="520" w:lineRule="exact"/>
        <w:ind w:firstLine="420" w:firstLineChars="200"/>
        <w:rPr>
          <w:rFonts w:hint="eastAsia" w:ascii="宋体" w:hAnsi="宋体"/>
          <w:bCs/>
          <w:szCs w:val="24"/>
        </w:rPr>
      </w:pPr>
      <w:r>
        <w:rPr>
          <w:rFonts w:hint="eastAsia" w:ascii="宋体" w:hAnsi="宋体"/>
          <w:bCs/>
          <w:szCs w:val="24"/>
        </w:rPr>
        <w:t>5.备件：</w:t>
      </w:r>
    </w:p>
    <w:p w14:paraId="50CB9DAB">
      <w:pPr>
        <w:spacing w:line="520" w:lineRule="exact"/>
        <w:ind w:firstLine="420" w:firstLineChars="200"/>
        <w:rPr>
          <w:rFonts w:hint="eastAsia" w:ascii="宋体" w:hAnsi="宋体"/>
          <w:bCs/>
          <w:szCs w:val="24"/>
        </w:rPr>
      </w:pPr>
      <w:r>
        <w:rPr>
          <w:rFonts w:hint="eastAsia" w:ascii="宋体" w:hAnsi="宋体"/>
          <w:bCs/>
          <w:szCs w:val="24"/>
        </w:rPr>
        <w:t>5.1.设备维修使用的备件需为原厂零备件。备件供应100%保障，满足提供特殊型号备品。所更换的备件为标的设备零配件同一生产厂家和同一型号规格的全新零配件，并提供零配件的相关材料。</w:t>
      </w:r>
    </w:p>
    <w:p w14:paraId="061FB59F">
      <w:pPr>
        <w:spacing w:line="520" w:lineRule="exact"/>
        <w:ind w:firstLine="420" w:firstLineChars="200"/>
        <w:rPr>
          <w:rFonts w:ascii="宋体" w:hAnsi="宋体"/>
          <w:bCs/>
          <w:szCs w:val="24"/>
        </w:rPr>
      </w:pPr>
      <w:r>
        <w:rPr>
          <w:rFonts w:hint="eastAsia" w:ascii="宋体" w:hAnsi="宋体"/>
          <w:bCs/>
          <w:szCs w:val="24"/>
        </w:rPr>
        <w:t>5.2.提供详细的备件清单。（含备件名称、规格、型号、数量、单价）</w:t>
      </w:r>
    </w:p>
    <w:p w14:paraId="468514A0">
      <w:pPr>
        <w:spacing w:line="520" w:lineRule="exact"/>
        <w:ind w:firstLine="420" w:firstLineChars="200"/>
        <w:rPr>
          <w:rFonts w:hint="eastAsia" w:ascii="宋体" w:hAnsi="宋体"/>
          <w:bCs/>
          <w:szCs w:val="24"/>
        </w:rPr>
      </w:pPr>
      <w:r>
        <w:rPr>
          <w:rFonts w:hint="eastAsia" w:ascii="宋体" w:hAnsi="宋体"/>
          <w:bCs/>
          <w:szCs w:val="24"/>
        </w:rPr>
        <w:t>6.设备维修期间可提供同型号备用品，保障科室工作正常开展。</w:t>
      </w:r>
    </w:p>
    <w:p w14:paraId="6A3A1001">
      <w:pPr>
        <w:spacing w:line="520" w:lineRule="exact"/>
        <w:ind w:firstLine="420" w:firstLineChars="200"/>
        <w:rPr>
          <w:rFonts w:hint="eastAsia" w:ascii="宋体" w:hAnsi="宋体"/>
          <w:bCs/>
          <w:szCs w:val="24"/>
        </w:rPr>
      </w:pPr>
      <w:r>
        <w:rPr>
          <w:rFonts w:hint="eastAsia" w:ascii="宋体" w:hAnsi="宋体"/>
          <w:bCs/>
          <w:szCs w:val="24"/>
        </w:rPr>
        <w:t>7.年度报告：每年提供一份完整的维修保养报告，包括但不限于服务项目，服务时间，服务具体内容。</w:t>
      </w:r>
    </w:p>
    <w:p w14:paraId="63102FA7">
      <w:pPr>
        <w:spacing w:line="520" w:lineRule="exact"/>
        <w:ind w:firstLine="420" w:firstLineChars="200"/>
        <w:rPr>
          <w:rFonts w:hint="eastAsia" w:ascii="宋体" w:hAnsi="宋体"/>
          <w:bCs/>
          <w:szCs w:val="24"/>
        </w:rPr>
      </w:pPr>
      <w:r>
        <w:rPr>
          <w:rFonts w:hint="eastAsia" w:ascii="宋体" w:hAnsi="宋体"/>
          <w:bCs/>
          <w:szCs w:val="24"/>
        </w:rPr>
        <w:t>8.保修期内设备的开机率≥95％（正常开机≥347天）。停机每超出1个日历日，维修服务合同期限自动延长7个日历日。</w:t>
      </w:r>
    </w:p>
    <w:p w14:paraId="60883459">
      <w:pPr>
        <w:spacing w:line="520" w:lineRule="exact"/>
        <w:ind w:firstLine="420" w:firstLineChars="200"/>
        <w:rPr>
          <w:rFonts w:hint="eastAsia" w:ascii="宋体" w:hAnsi="宋体"/>
          <w:bCs/>
          <w:szCs w:val="24"/>
        </w:rPr>
      </w:pPr>
      <w:r>
        <w:rPr>
          <w:rFonts w:hint="eastAsia" w:ascii="宋体" w:hAnsi="宋体"/>
          <w:bCs/>
          <w:szCs w:val="24"/>
        </w:rPr>
        <w:t>9.具有固定工程师≥2人常驻郑州，提供姓名、身份证号及联系方式，提供雇佣关系证明和社保缴纳证明，培训资质证书。工程师具有≥3年的维修工作经验。</w:t>
      </w:r>
    </w:p>
    <w:p w14:paraId="372954ED">
      <w:pPr>
        <w:spacing w:line="520" w:lineRule="exact"/>
        <w:ind w:firstLine="420" w:firstLineChars="200"/>
        <w:rPr>
          <w:rFonts w:hint="eastAsia" w:ascii="宋体" w:hAnsi="宋体"/>
          <w:bCs/>
          <w:szCs w:val="24"/>
        </w:rPr>
      </w:pPr>
      <w:r>
        <w:rPr>
          <w:rFonts w:hint="eastAsia" w:ascii="宋体" w:hAnsi="宋体"/>
          <w:bCs/>
          <w:szCs w:val="24"/>
        </w:rPr>
        <w:t>10.设备保修每满一年时，医院相关部门组织验收，如验收不合格，甲方有权利终止保修服务。</w:t>
      </w:r>
    </w:p>
    <w:p w14:paraId="4D1C2E9E">
      <w:pPr>
        <w:pStyle w:val="29"/>
        <w:numPr>
          <w:ilvl w:val="0"/>
          <w:numId w:val="2"/>
        </w:numPr>
        <w:spacing w:line="360" w:lineRule="auto"/>
        <w:ind w:firstLine="0"/>
        <w:rPr>
          <w:rFonts w:ascii="宋体" w:hAnsi="宋体" w:eastAsia="宋体" w:cs="宋体"/>
          <w:b/>
          <w:bCs/>
          <w:sz w:val="24"/>
        </w:rPr>
      </w:pPr>
      <w:r>
        <w:rPr>
          <w:rFonts w:hint="eastAsia" w:ascii="宋体" w:hAnsi="宋体" w:eastAsia="宋体" w:cs="宋体"/>
          <w:b/>
          <w:bCs/>
          <w:sz w:val="24"/>
        </w:rPr>
        <w:t xml:space="preserve">商务要求   </w:t>
      </w:r>
    </w:p>
    <w:p w14:paraId="229D0EC2">
      <w:pPr>
        <w:pStyle w:val="29"/>
        <w:spacing w:line="360" w:lineRule="auto"/>
        <w:ind w:firstLine="0"/>
        <w:rPr>
          <w:rFonts w:hint="default" w:ascii="宋体" w:hAnsi="宋体" w:eastAsia="宋体" w:cs="宋体"/>
          <w:sz w:val="24"/>
          <w:lang w:val="en-US" w:eastAsia="zh-CN"/>
        </w:rPr>
      </w:pPr>
      <w:r>
        <w:rPr>
          <w:rFonts w:hint="eastAsia" w:ascii="宋体" w:hAnsi="宋体" w:eastAsia="宋体" w:cs="宋体"/>
          <w:sz w:val="24"/>
          <w:lang w:val="en-US" w:eastAsia="zh-CN"/>
        </w:rPr>
        <w:t>1.服务期：电子支气管镜4条，保修3年。</w:t>
      </w:r>
    </w:p>
    <w:p w14:paraId="1CD8C7EB">
      <w:pPr>
        <w:pStyle w:val="29"/>
        <w:spacing w:line="360" w:lineRule="auto"/>
        <w:ind w:firstLine="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保修款项按年支付，合同签订后:</w:t>
      </w:r>
    </w:p>
    <w:p w14:paraId="5212BE4A">
      <w:pPr>
        <w:pStyle w:val="29"/>
        <w:spacing w:line="360" w:lineRule="auto"/>
        <w:ind w:firstLine="0"/>
        <w:rPr>
          <w:rFonts w:ascii="宋体" w:hAnsi="宋体" w:eastAsia="宋体" w:cs="宋体"/>
          <w:sz w:val="24"/>
        </w:rPr>
      </w:pPr>
      <w:r>
        <w:rPr>
          <w:rFonts w:hint="eastAsia" w:ascii="宋体" w:hAnsi="宋体" w:eastAsia="宋体" w:cs="宋体"/>
          <w:sz w:val="24"/>
        </w:rPr>
        <w:t>第一合同年份款项于当合同年第一季度内支付全款的30%；</w:t>
      </w:r>
    </w:p>
    <w:p w14:paraId="07C75643">
      <w:pPr>
        <w:pStyle w:val="29"/>
        <w:spacing w:line="360" w:lineRule="auto"/>
        <w:ind w:firstLine="0"/>
        <w:rPr>
          <w:rFonts w:ascii="宋体" w:hAnsi="宋体" w:eastAsia="宋体" w:cs="宋体"/>
          <w:sz w:val="24"/>
        </w:rPr>
      </w:pPr>
      <w:r>
        <w:rPr>
          <w:rFonts w:hint="eastAsia" w:ascii="宋体" w:hAnsi="宋体" w:eastAsia="宋体" w:cs="宋体"/>
          <w:sz w:val="24"/>
        </w:rPr>
        <w:t>第二合同年份款项于当合同年第一季度内支付全款的30%；</w:t>
      </w:r>
    </w:p>
    <w:p w14:paraId="05DA0D2D">
      <w:pPr>
        <w:pStyle w:val="29"/>
        <w:spacing w:line="360" w:lineRule="auto"/>
        <w:ind w:firstLine="0"/>
        <w:rPr>
          <w:rFonts w:ascii="宋体" w:hAnsi="宋体" w:eastAsia="宋体" w:cs="宋体"/>
          <w:sz w:val="24"/>
        </w:rPr>
      </w:pPr>
      <w:r>
        <w:rPr>
          <w:rFonts w:hint="eastAsia" w:ascii="宋体" w:hAnsi="宋体" w:eastAsia="宋体" w:cs="宋体"/>
          <w:sz w:val="24"/>
        </w:rPr>
        <w:t>第三合同年份款项于当合同年第一季度内支付全款的30%；</w:t>
      </w:r>
    </w:p>
    <w:p w14:paraId="5CC26A85">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eastAsia="宋体" w:cs="宋体"/>
          <w:sz w:val="24"/>
        </w:rPr>
        <w:t>剩余10%货款于合同到期后一个月内，按规定程序办理支付手续，一次性付清。</w:t>
      </w:r>
    </w:p>
    <w:p w14:paraId="309E12B4">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11890"/>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27DCB4AA">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24403"/>
      <w:bookmarkStart w:id="12" w:name="_Toc19319"/>
      <w:bookmarkStart w:id="13" w:name="_Toc56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972"/>
      <w:bookmarkStart w:id="15" w:name="_Toc1054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31728"/>
      <w:bookmarkStart w:id="18" w:name="_Toc32668"/>
      <w:bookmarkStart w:id="19" w:name="_Toc8953"/>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年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4C73DE">
            <w:pPr>
              <w:tabs>
                <w:tab w:val="left" w:pos="926"/>
                <w:tab w:val="left" w:pos="4335"/>
                <w:tab w:val="left" w:pos="4515"/>
                <w:tab w:val="left" w:pos="7227"/>
              </w:tabs>
              <w:spacing w:line="360" w:lineRule="auto"/>
              <w:jc w:val="left"/>
              <w:rPr>
                <w:highlight w:val="none"/>
              </w:rPr>
            </w:pPr>
          </w:p>
          <w:p w14:paraId="1079833B">
            <w:pPr>
              <w:pStyle w:val="29"/>
              <w:rPr>
                <w:highlight w:val="none"/>
              </w:rPr>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5BDE3D85">
      <w:pPr>
        <w:rPr>
          <w:rFonts w:hint="eastAsia"/>
          <w:highlight w:val="none"/>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23117"/>
      <w:bookmarkStart w:id="32"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0496"/>
      <w:bookmarkStart w:id="34"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2922"/>
      <w:bookmarkStart w:id="36" w:name="_Toc4948"/>
      <w:bookmarkStart w:id="37" w:name="_Toc15867"/>
      <w:bookmarkStart w:id="38" w:name="_Toc30765"/>
      <w:bookmarkStart w:id="39" w:name="_Toc10750"/>
      <w:bookmarkStart w:id="40" w:name="_Toc304219331"/>
      <w:bookmarkStart w:id="41" w:name="_Toc12801"/>
      <w:bookmarkStart w:id="42" w:name="_Toc4599"/>
      <w:bookmarkStart w:id="43" w:name="_Toc29526"/>
      <w:bookmarkStart w:id="44" w:name="_Toc337475928"/>
      <w:bookmarkStart w:id="45" w:name="_Toc320878714"/>
      <w:bookmarkStart w:id="46" w:name="_Toc349642319"/>
      <w:bookmarkStart w:id="47" w:name="_Toc337554798"/>
      <w:bookmarkStart w:id="48" w:name="_Toc28583"/>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bookmarkStart w:id="53" w:name="_GoBack"/>
      <w:bookmarkEnd w:id="53"/>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E9473DA"/>
    <w:multiLevelType w:val="singleLevel"/>
    <w:tmpl w:val="5E9473DA"/>
    <w:lvl w:ilvl="0" w:tentative="0">
      <w:start w:val="2"/>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C74522"/>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EF2710D"/>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2D04B7"/>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5524</Words>
  <Characters>5694</Characters>
  <Lines>315</Lines>
  <Paragraphs>88</Paragraphs>
  <TotalTime>1</TotalTime>
  <ScaleCrop>false</ScaleCrop>
  <LinksUpToDate>false</LinksUpToDate>
  <CharactersWithSpaces>6268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2025-01-03T00:28:53Z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8FCDDCFF4AAB4A02BCF32148C20DBED3_13</vt:lpwstr>
  </property>
  <property fmtid="{D5CDD505-2E9C-101B-9397-08002B2CF9AE}" pid="4" name="KSOTemplateDocerSaveRecord">
    <vt:lpwstr>eyJoZGlkIjoiMTUyMDA2ZjQ4N2YyNDAzZWJjY2U2NWNkZDY5ZDY4ZDAiLCJ1c2VySWQiOiI2OTIxMTkxNTcifQ==</vt:lpwstr>
  </property>
</Properties>
</file>