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val="en-US" w:eastAsia="zh-CN"/>
        </w:rPr>
        <w:t>心肺复苏仪</w:t>
      </w:r>
    </w:p>
    <w:p w14:paraId="4198787D">
      <w:pPr>
        <w:jc w:val="center"/>
        <w:rPr>
          <w:rFonts w:hint="eastAsia" w:ascii="宋体" w:hAnsi="宋体" w:cs="宋体"/>
          <w:b/>
          <w:sz w:val="40"/>
          <w:szCs w:val="40"/>
        </w:rPr>
      </w:pPr>
      <w:r>
        <w:rPr>
          <w:rFonts w:hint="eastAsia" w:ascii="宋体" w:hAnsi="宋体" w:cs="宋体"/>
          <w:b/>
          <w:sz w:val="40"/>
          <w:szCs w:val="40"/>
        </w:rPr>
        <w:fldChar w:fldCharType="begin"/>
      </w:r>
      <w:r>
        <w:rPr>
          <w:rFonts w:hint="eastAsia" w:ascii="宋体" w:hAnsi="宋体" w:cs="宋体"/>
          <w:b/>
          <w:sz w:val="40"/>
          <w:szCs w:val="40"/>
        </w:rPr>
        <w:instrText xml:space="preserve"> HYPERLINK \l "项目资料表" </w:instrText>
      </w:r>
      <w:r>
        <w:rPr>
          <w:rFonts w:hint="eastAsia" w:ascii="宋体" w:hAnsi="宋体" w:cs="宋体"/>
          <w:b/>
          <w:sz w:val="40"/>
          <w:szCs w:val="40"/>
        </w:rPr>
        <w:fldChar w:fldCharType="separate"/>
      </w:r>
      <w:r>
        <w:rPr>
          <w:rFonts w:hint="eastAsia" w:ascii="宋体" w:hAnsi="宋体" w:cs="宋体"/>
          <w:b/>
          <w:sz w:val="40"/>
          <w:szCs w:val="40"/>
        </w:rPr>
        <w:t>采购项目</w:t>
      </w:r>
      <w:r>
        <w:rPr>
          <w:rFonts w:hint="eastAsia" w:ascii="宋体" w:hAnsi="宋体" w:cs="宋体"/>
          <w:b/>
          <w:sz w:val="40"/>
          <w:szCs w:val="40"/>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w:t>
      </w:r>
      <w:r>
        <w:rPr>
          <w:rFonts w:hint="eastAsia" w:ascii="宋体" w:hAnsi="宋体" w:cs="宋体"/>
          <w:b/>
          <w:sz w:val="32"/>
          <w:highlight w:val="none"/>
        </w:rPr>
        <w:t>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012</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7AA7A627">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rPr>
        <w:t xml:space="preserve"> </w:t>
      </w:r>
      <w:r>
        <w:rPr>
          <w:rFonts w:hint="eastAsia" w:ascii="宋体" w:hAnsi="宋体"/>
          <w:b/>
          <w:sz w:val="28"/>
          <w:szCs w:val="28"/>
          <w:highlight w:val="none"/>
        </w:rPr>
        <w:t>河南省胸科医院</w:t>
      </w:r>
      <w:r>
        <w:rPr>
          <w:rFonts w:hint="eastAsia" w:ascii="宋体" w:hAnsi="宋体" w:cs="宋体"/>
          <w:b/>
          <w:color w:val="auto"/>
          <w:sz w:val="30"/>
          <w:szCs w:val="30"/>
          <w:highlight w:val="none"/>
          <w:lang w:val="en-US" w:eastAsia="zh-CN" w:bidi="ar"/>
        </w:rPr>
        <w:t>心肺复苏仪采购</w:t>
      </w:r>
      <w:r>
        <w:rPr>
          <w:rFonts w:hint="eastAsia" w:ascii="宋体" w:hAnsi="宋体" w:eastAsia="宋体" w:cs="宋体"/>
          <w:b/>
          <w:color w:val="auto"/>
          <w:sz w:val="30"/>
          <w:szCs w:val="30"/>
          <w:highlight w:val="none"/>
          <w:lang w:eastAsia="zh-CN" w:bidi="ar"/>
        </w:rPr>
        <w:t>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河南省胸科医院心肺复苏仪采购项目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心肺复苏仪</w:t>
      </w:r>
      <w:r>
        <w:rPr>
          <w:rFonts w:hint="default" w:asciiTheme="minorEastAsia" w:hAnsiTheme="minorEastAsia" w:eastAsiaTheme="minorEastAsia" w:cstheme="minorEastAsia"/>
          <w:color w:val="333333"/>
          <w:sz w:val="24"/>
          <w:szCs w:val="24"/>
        </w:rPr>
        <w:t>1台。</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三、项</w:t>
      </w:r>
      <w:r>
        <w:rPr>
          <w:rFonts w:hint="default" w:asciiTheme="minorEastAsia" w:hAnsiTheme="minorEastAsia" w:eastAsiaTheme="minorEastAsia" w:cstheme="minorEastAsia"/>
          <w:color w:val="333333"/>
          <w:sz w:val="24"/>
          <w:szCs w:val="24"/>
          <w:highlight w:val="none"/>
        </w:rPr>
        <w:t>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23</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（二）方式：将资料清单（见公告末尾）纸质</w:t>
      </w:r>
      <w:r>
        <w:rPr>
          <w:rFonts w:hint="default" w:asciiTheme="minorEastAsia" w:hAnsiTheme="minorEastAsia" w:eastAsiaTheme="minorEastAsia" w:cstheme="minorEastAsia"/>
          <w:color w:val="333333"/>
          <w:sz w:val="24"/>
          <w:szCs w:val="24"/>
        </w:rPr>
        <w:t>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6C24F3E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rPr>
      </w:pPr>
    </w:p>
    <w:p w14:paraId="264352C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rPr>
              <w:t>：</w:t>
            </w:r>
            <w:r>
              <w:rPr>
                <w:rFonts w:hint="eastAsia" w:ascii="宋体" w:hAnsi="宋体"/>
                <w:sz w:val="24"/>
                <w:highlight w:val="none"/>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bookmarkEnd w:id="2"/>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3" w:name="_Toc2902"/>
      <w:bookmarkStart w:id="4" w:name="_Toc6661845"/>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4F1A3BA9">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bookmarkStart w:id="67" w:name="_GoBack"/>
      <w:bookmarkEnd w:id="67"/>
    </w:p>
    <w:p w14:paraId="3E4CF3A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1.数量：1台。</w:t>
      </w:r>
    </w:p>
    <w:p w14:paraId="7DAA0A6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2.支持在道路救护车上以及航空飞行器环境中救治患者。</w:t>
      </w:r>
    </w:p>
    <w:p w14:paraId="69B485B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3.设备坚固耐用，防摔抗撞、适应各种急救恶劣环境。</w:t>
      </w:r>
    </w:p>
    <w:p w14:paraId="0E72AF3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4.电动电控心肺复苏机，不以气体作为驱动，便于抢救现场或者转运过程中使用。</w:t>
      </w:r>
    </w:p>
    <w:p w14:paraId="0CBF0CE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5.全自动设计，无需选择深度和频率，开机启动自动按压操作步骤≤3步。</w:t>
      </w:r>
    </w:p>
    <w:p w14:paraId="2061ABF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6.用于实施按压过程的操作按键数≤4个按键，操作界面清晰简洁，所见即所得。</w:t>
      </w:r>
    </w:p>
    <w:p w14:paraId="0FEB3D0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7.操作通过物理按键完成。</w:t>
      </w:r>
    </w:p>
    <w:p w14:paraId="3669680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8.具有防错机制，禁止在按压工作过程中更改如按压深度等关键按压参数而导致病人额外损伤或按压不达标的情况。</w:t>
      </w:r>
    </w:p>
    <w:p w14:paraId="0C1A7DE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9.设备安装启动时间≤7秒。</w:t>
      </w:r>
    </w:p>
    <w:p w14:paraId="45579BD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10.具备连续按压模式、30：2模式等；连续按压和“30:2”模式在按压过程中可随时切换无需暂停。</w:t>
      </w:r>
    </w:p>
    <w:p w14:paraId="0683ABA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11.主机支撑腿为环抱式设计，可快速将按压主机固定于病人的上方。</w:t>
      </w:r>
    </w:p>
    <w:p w14:paraId="28CE217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12.预设置的按压深度45-53mm。</w:t>
      </w:r>
    </w:p>
    <w:p w14:paraId="4A15999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13.在设备提供的最大按压深度、按压通气比为30：2、标准病人的条件下，按压频率至少提供三档可调。</w:t>
      </w:r>
    </w:p>
    <w:p w14:paraId="494C196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14.设备有可拆卸负压吸引杯设计，使患者胸廓每次按压后都能完全回弹。</w:t>
      </w:r>
    </w:p>
    <w:p w14:paraId="4619E06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15.设备按压方式采用点式按压，不影响病人上ECMO治疗时进行心肺复苏。</w:t>
      </w:r>
    </w:p>
    <w:p w14:paraId="0CBA72C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16.按压过程中可进行除颤操作，无须中断按压。</w:t>
      </w:r>
    </w:p>
    <w:p w14:paraId="28D45AF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17.按压背板具有良好的X射线透射性。</w:t>
      </w:r>
    </w:p>
    <w:p w14:paraId="2714F3F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18.连续按压模式下可提供通气视觉和声音提示。</w:t>
      </w:r>
    </w:p>
    <w:p w14:paraId="0D3C232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19.具备按压计时器，提供提示音，提示间隔1-15分钟可调。</w:t>
      </w:r>
    </w:p>
    <w:p w14:paraId="042CA84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20.设备为全自动设计，无需人工进行按压参数设置，所有参数严格依照最新的AHA/ERC心肺复苏指南中的要求由设备根据病人状况自动设置。按压深度最小值≥40毫米。按压深度最大值≤55毫米。</w:t>
      </w:r>
    </w:p>
    <w:p w14:paraId="535BC1B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21.配备原厂同品牌便携背包，防水防尘材料制作，有透明窗口，可以查看电池电量剩余情况。</w:t>
      </w:r>
    </w:p>
    <w:p w14:paraId="5F334C8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22.按压背板重量≤1100克，设计小巧，固定按压方便且省力。</w:t>
      </w:r>
    </w:p>
    <w:p w14:paraId="13795D5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23.供电方式：支持市电供电、直流电池供电；可选配车载12V电源供电。</w:t>
      </w:r>
    </w:p>
    <w:p w14:paraId="3A0BAE7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24.电池</w:t>
      </w:r>
    </w:p>
    <w:p w14:paraId="4C7541E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1)可充电锂离子聚合物电池，容量≥3000mAH。</w:t>
      </w:r>
    </w:p>
    <w:p w14:paraId="246CE2E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2)在设备提供的最大按压深度、功能全部开启，标准病人条件下，电池运行时间≥45分钟。</w:t>
      </w:r>
    </w:p>
    <w:p w14:paraId="765CA16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3)充电方式≥2种，电池充电完成时间室温条件下≤4小时。</w:t>
      </w:r>
    </w:p>
    <w:p w14:paraId="0D83796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25.快速电池拔插设计，节省操作时间。</w:t>
      </w:r>
    </w:p>
    <w:p w14:paraId="1CC676F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26.整机设备含电池重量≤8kg。</w:t>
      </w:r>
    </w:p>
    <w:p w14:paraId="50D28A9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27.设备具备记忆功能，极端情况下允许按压过程中断电或拔下电池，在任意方式恢复供电后，按压吸盘会自动回到已设定的按压起始位置，可直接重新快速开始按压，无需重新设定吸盘位置。</w:t>
      </w:r>
    </w:p>
    <w:p w14:paraId="5C965B1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28.主要配置清单：</w:t>
      </w:r>
    </w:p>
    <w:p w14:paraId="4C36CA1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1)心肺复苏机主机--------1台</w:t>
      </w:r>
    </w:p>
    <w:p w14:paraId="02CAFFD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2)按压背板--------------1块</w:t>
      </w:r>
    </w:p>
    <w:p w14:paraId="442211E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3)电源适配器------------1个</w:t>
      </w:r>
    </w:p>
    <w:p w14:paraId="0060214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4)吸盘------------------2个</w:t>
      </w:r>
    </w:p>
    <w:p w14:paraId="5BE953F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5)便携背包--------------1只</w:t>
      </w:r>
    </w:p>
    <w:p w14:paraId="3810B6F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6)腕带------------------2个</w:t>
      </w:r>
    </w:p>
    <w:p w14:paraId="2E5C158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7)颈托固定带------------1副</w:t>
      </w:r>
    </w:p>
    <w:p w14:paraId="1B3737D6">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8)电池------------------1块</w:t>
      </w:r>
    </w:p>
    <w:p w14:paraId="3CB6C838">
      <w:pPr>
        <w:pStyle w:val="2"/>
        <w:rPr>
          <w:rFonts w:hint="eastAsia"/>
          <w:lang w:val="en-US" w:eastAsia="zh-CN"/>
        </w:rPr>
      </w:pPr>
    </w:p>
    <w:p w14:paraId="67BB9A04">
      <w:pPr>
        <w:spacing w:line="360" w:lineRule="auto"/>
        <w:rPr>
          <w:rFonts w:ascii="宋体" w:hAnsi="宋体"/>
          <w:b/>
          <w:bCs/>
          <w:sz w:val="24"/>
        </w:rPr>
      </w:pPr>
      <w:r>
        <w:rPr>
          <w:rFonts w:hint="eastAsia" w:ascii="宋体" w:hAnsi="宋体"/>
          <w:b/>
          <w:bCs/>
          <w:sz w:val="24"/>
        </w:rPr>
        <w:t>二、商务要求</w:t>
      </w:r>
    </w:p>
    <w:p w14:paraId="66756913">
      <w:pPr>
        <w:spacing w:line="360" w:lineRule="auto"/>
        <w:rPr>
          <w:rFonts w:ascii="宋体" w:hAnsi="宋体" w:cs="宋体"/>
          <w:sz w:val="24"/>
        </w:rPr>
      </w:pPr>
      <w:r>
        <w:rPr>
          <w:rFonts w:hint="eastAsia" w:ascii="宋体" w:hAnsi="宋体" w:cs="宋体"/>
          <w:sz w:val="24"/>
        </w:rPr>
        <w:t>1.特定资格</w:t>
      </w:r>
    </w:p>
    <w:p w14:paraId="218D8252">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486C39A1">
      <w:pPr>
        <w:spacing w:line="360" w:lineRule="auto"/>
        <w:ind w:firstLine="240" w:firstLineChars="100"/>
        <w:rPr>
          <w:rFonts w:ascii="宋体" w:hAnsi="宋体" w:cs="宋体"/>
          <w:color w:val="auto"/>
          <w:sz w:val="24"/>
        </w:rPr>
      </w:pPr>
      <w:r>
        <w:rPr>
          <w:rFonts w:hint="eastAsia" w:ascii="宋体" w:hAnsi="宋体" w:cs="宋体"/>
          <w:sz w:val="24"/>
        </w:rPr>
        <w:t>1.2 投标产品具有医疗器械生产许可证、医疗器械产品注册证或医疗器械产品备案凭证。</w:t>
      </w:r>
    </w:p>
    <w:p w14:paraId="2046B02A">
      <w:pPr>
        <w:spacing w:line="360" w:lineRule="auto"/>
        <w:rPr>
          <w:rFonts w:ascii="宋体" w:hAnsi="宋体" w:cs="宋体"/>
          <w:color w:val="auto"/>
          <w:sz w:val="24"/>
        </w:rPr>
      </w:pPr>
      <w:r>
        <w:rPr>
          <w:rFonts w:hint="eastAsia" w:ascii="宋体" w:hAnsi="宋体" w:cs="宋体"/>
          <w:color w:val="auto"/>
          <w:sz w:val="24"/>
        </w:rPr>
        <w:t>2.到货期：合同签订后</w:t>
      </w:r>
      <w:r>
        <w:rPr>
          <w:rFonts w:hint="eastAsia" w:ascii="宋体" w:hAnsi="宋体" w:cs="宋体"/>
          <w:b/>
          <w:bCs/>
          <w:color w:val="auto"/>
          <w:sz w:val="24"/>
        </w:rPr>
        <w:t>30日历天</w:t>
      </w:r>
    </w:p>
    <w:p w14:paraId="0D10322F">
      <w:pPr>
        <w:spacing w:line="360" w:lineRule="auto"/>
        <w:rPr>
          <w:rFonts w:hint="eastAsia" w:ascii="宋体" w:hAnsi="宋体" w:eastAsia="宋体" w:cs="宋体"/>
          <w:color w:val="auto"/>
          <w:sz w:val="24"/>
          <w:lang w:eastAsia="zh-CN"/>
        </w:rPr>
      </w:pPr>
      <w:r>
        <w:rPr>
          <w:rFonts w:hint="eastAsia" w:ascii="宋体" w:hAnsi="宋体" w:cs="宋体"/>
          <w:color w:val="auto"/>
          <w:sz w:val="24"/>
        </w:rPr>
        <w:t>3.是否接受进口产品：</w:t>
      </w:r>
      <w:r>
        <w:rPr>
          <w:rFonts w:hint="eastAsia" w:ascii="宋体" w:hAnsi="宋体" w:cs="宋体"/>
          <w:b/>
          <w:bCs/>
          <w:color w:val="auto"/>
          <w:sz w:val="24"/>
          <w:lang w:val="en-US" w:eastAsia="zh-CN"/>
        </w:rPr>
        <w:t>是</w:t>
      </w:r>
    </w:p>
    <w:p w14:paraId="7B4634FA">
      <w:pPr>
        <w:spacing w:line="360" w:lineRule="auto"/>
        <w:rPr>
          <w:rFonts w:ascii="宋体" w:hAnsi="宋体" w:cs="宋体"/>
          <w:color w:val="auto"/>
          <w:sz w:val="24"/>
        </w:rPr>
      </w:pPr>
      <w:r>
        <w:rPr>
          <w:rFonts w:hint="eastAsia" w:ascii="宋体" w:hAnsi="宋体" w:cs="宋体"/>
          <w:color w:val="auto"/>
          <w:sz w:val="24"/>
        </w:rPr>
        <w:t>4.质保期：</w:t>
      </w:r>
      <w:r>
        <w:rPr>
          <w:rFonts w:hint="eastAsia" w:ascii="宋体" w:hAnsi="宋体" w:cs="宋体"/>
          <w:b/>
          <w:bCs/>
          <w:color w:val="auto"/>
          <w:sz w:val="24"/>
        </w:rPr>
        <w:t>≥3年</w:t>
      </w:r>
      <w:r>
        <w:rPr>
          <w:rFonts w:hint="eastAsia" w:ascii="宋体" w:hAnsi="宋体" w:cs="宋体"/>
          <w:color w:val="auto"/>
          <w:sz w:val="24"/>
        </w:rPr>
        <w:t>（供应商需明确具体年数）</w:t>
      </w:r>
    </w:p>
    <w:p w14:paraId="0B6C0526">
      <w:pPr>
        <w:spacing w:line="360" w:lineRule="auto"/>
        <w:rPr>
          <w:rFonts w:ascii="宋体" w:hAnsi="宋体" w:cs="宋体"/>
          <w:color w:val="auto"/>
          <w:sz w:val="24"/>
        </w:rPr>
      </w:pPr>
      <w:r>
        <w:rPr>
          <w:rFonts w:hint="eastAsia" w:ascii="宋体" w:hAnsi="宋体" w:cs="宋体"/>
          <w:color w:val="auto"/>
          <w:sz w:val="24"/>
        </w:rPr>
        <w:t>5.履约保证金：无</w:t>
      </w:r>
    </w:p>
    <w:p w14:paraId="35F0315F">
      <w:pPr>
        <w:spacing w:line="360" w:lineRule="auto"/>
        <w:rPr>
          <w:rFonts w:ascii="宋体" w:hAnsi="宋体" w:cs="宋体"/>
          <w:color w:val="auto"/>
          <w:sz w:val="24"/>
        </w:rPr>
      </w:pPr>
      <w:r>
        <w:rPr>
          <w:rFonts w:hint="eastAsia" w:ascii="宋体" w:hAnsi="宋体" w:cs="宋体"/>
          <w:color w:val="auto"/>
          <w:sz w:val="24"/>
        </w:rPr>
        <w:t>6.付款方式：</w:t>
      </w:r>
    </w:p>
    <w:p w14:paraId="005BE3BA">
      <w:pPr>
        <w:spacing w:line="360" w:lineRule="auto"/>
        <w:ind w:firstLine="240" w:firstLineChars="100"/>
        <w:rPr>
          <w:rFonts w:ascii="宋体" w:hAnsi="宋体" w:cs="宋体"/>
          <w:color w:val="auto"/>
          <w:sz w:val="24"/>
        </w:rPr>
      </w:pPr>
      <w:r>
        <w:rPr>
          <w:rFonts w:hint="eastAsia" w:ascii="宋体" w:hAnsi="宋体" w:cs="宋体"/>
          <w:color w:val="auto"/>
          <w:sz w:val="24"/>
        </w:rPr>
        <w:t>6.1．合同签订后，设备交付，使用运行正常，验收合格之后，院方向供应商支付合同总价的</w:t>
      </w:r>
      <w:r>
        <w:rPr>
          <w:rFonts w:hint="eastAsia" w:ascii="宋体" w:hAnsi="宋体" w:cs="宋体"/>
          <w:b/>
          <w:bCs/>
          <w:color w:val="auto"/>
          <w:sz w:val="24"/>
        </w:rPr>
        <w:t>95%</w:t>
      </w:r>
      <w:r>
        <w:rPr>
          <w:rFonts w:hint="eastAsia" w:ascii="宋体" w:hAnsi="宋体" w:cs="宋体"/>
          <w:color w:val="auto"/>
          <w:sz w:val="24"/>
        </w:rPr>
        <w:t>货款。</w:t>
      </w:r>
    </w:p>
    <w:p w14:paraId="40634F75">
      <w:pPr>
        <w:spacing w:line="360" w:lineRule="auto"/>
        <w:ind w:firstLine="240" w:firstLineChars="100"/>
        <w:rPr>
          <w:rFonts w:ascii="宋体" w:hAnsi="宋体" w:cs="宋体"/>
          <w:sz w:val="24"/>
        </w:rPr>
      </w:pPr>
      <w:r>
        <w:rPr>
          <w:rFonts w:hint="eastAsia" w:ascii="宋体" w:hAnsi="宋体" w:cs="宋体"/>
          <w:color w:val="auto"/>
          <w:sz w:val="24"/>
        </w:rPr>
        <w:t>6.2．余下的</w:t>
      </w:r>
      <w:r>
        <w:rPr>
          <w:rFonts w:hint="eastAsia" w:ascii="宋体" w:hAnsi="宋体" w:cs="宋体"/>
          <w:b/>
          <w:bCs/>
          <w:color w:val="auto"/>
          <w:sz w:val="24"/>
        </w:rPr>
        <w:t>5%</w:t>
      </w:r>
      <w:r>
        <w:rPr>
          <w:rFonts w:hint="eastAsia" w:ascii="宋体" w:hAnsi="宋体" w:cs="宋体"/>
          <w:color w:val="auto"/>
          <w:sz w:val="24"/>
        </w:rPr>
        <w:t>货款于</w:t>
      </w:r>
      <w:r>
        <w:rPr>
          <w:rFonts w:hint="eastAsia" w:ascii="宋体" w:hAnsi="宋体" w:cs="宋体"/>
          <w:sz w:val="24"/>
        </w:rPr>
        <w:t>质保期满后，依据投标文件，所承诺的优惠条件、售后服务计划、培训计划等执行到位后，按规定程序办理支付手续，一次性付清。</w:t>
      </w:r>
    </w:p>
    <w:p w14:paraId="5D4C4A7D">
      <w:pPr>
        <w:spacing w:line="360" w:lineRule="auto"/>
        <w:rPr>
          <w:rFonts w:hint="eastAsia" w:asciiTheme="minorEastAsia" w:hAnsiTheme="minorEastAsia" w:eastAsiaTheme="minorEastAsia" w:cstheme="minorEastAsia"/>
          <w:color w:val="auto"/>
          <w:sz w:val="24"/>
          <w:szCs w:val="24"/>
          <w:lang w:eastAsia="zh-CN"/>
        </w:rPr>
      </w:pPr>
    </w:p>
    <w:p w14:paraId="0EF5F49A">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highlight w:val="none"/>
          <w:u w:val="single"/>
        </w:rPr>
        <w:t>）</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w:t>
      </w:r>
      <w:r>
        <w:rPr>
          <w:rFonts w:hint="eastAsia" w:ascii="宋体" w:hAnsi="宋体"/>
          <w:sz w:val="24"/>
        </w:rPr>
        <w:t>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lang w:val="en-US" w:eastAsia="zh-CN" w:bidi="ar-SA"/>
        </w:rPr>
        <w:t>法定代表</w:t>
      </w:r>
      <w:r>
        <w:rPr>
          <w:rFonts w:hint="eastAsia" w:asciiTheme="minorHAnsi" w:hAnsiTheme="minorHAnsi" w:eastAsiaTheme="minorEastAsia" w:cstheme="minorBidi"/>
          <w:kern w:val="2"/>
          <w:sz w:val="24"/>
          <w:szCs w:val="22"/>
          <w:highlight w:val="none"/>
          <w:lang w:val="en-US" w:eastAsia="zh-CN" w:bidi="ar-SA"/>
        </w:rPr>
        <w:t>人（个人签字或盖章）：</w:t>
      </w:r>
    </w:p>
    <w:p w14:paraId="6E800062">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A4D98E4">
      <w:pPr>
        <w:pStyle w:val="3"/>
        <w:spacing w:line="500" w:lineRule="exact"/>
        <w:rPr>
          <w:sz w:val="24"/>
          <w:highlight w:val="none"/>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4559"/>
      <w:bookmarkStart w:id="13" w:name="_Toc11890"/>
      <w:bookmarkStart w:id="14" w:name="_Toc26111"/>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w:t>
      </w:r>
      <w:r>
        <w:rPr>
          <w:rFonts w:hint="eastAsia" w:ascii="宋体" w:hAnsi="宋体"/>
          <w:color w:val="auto"/>
          <w:sz w:val="24"/>
        </w:rPr>
        <w:t xml:space="preserve">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569"/>
      <w:bookmarkStart w:id="16" w:name="_Toc19319"/>
      <w:bookmarkStart w:id="17" w:name="_Toc24403"/>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none"/>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8953"/>
      <w:bookmarkStart w:id="22" w:name="_Toc31728"/>
      <w:bookmarkStart w:id="23" w:name="_Toc3266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37475887"/>
      <w:bookmarkStart w:id="38" w:name="_Toc320878673"/>
      <w:bookmarkStart w:id="39" w:name="_Toc304219290"/>
      <w:bookmarkStart w:id="40" w:name="_Toc349642274"/>
      <w:bookmarkStart w:id="41"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11982"/>
      <w:bookmarkStart w:id="46" w:name="_Toc23117"/>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3816"/>
      <w:bookmarkStart w:id="48" w:name="_Toc2049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29526"/>
      <w:bookmarkStart w:id="52" w:name="_Toc337554798"/>
      <w:bookmarkStart w:id="53" w:name="_Toc10750"/>
      <w:bookmarkStart w:id="54" w:name="_Toc337475928"/>
      <w:bookmarkStart w:id="55" w:name="_Toc30765"/>
      <w:bookmarkStart w:id="56" w:name="_Toc12801"/>
      <w:bookmarkStart w:id="57" w:name="_Toc304219331"/>
      <w:bookmarkStart w:id="58" w:name="_Toc15867"/>
      <w:bookmarkStart w:id="59" w:name="_Toc28583"/>
      <w:bookmarkStart w:id="60" w:name="_Toc4599"/>
      <w:bookmarkStart w:id="61" w:name="_Toc320878714"/>
      <w:bookmarkStart w:id="62" w:name="_Toc349642319"/>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0FE4669F"/>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173EC7"/>
    <w:rsid w:val="44AF31BA"/>
    <w:rsid w:val="45E93670"/>
    <w:rsid w:val="4636043E"/>
    <w:rsid w:val="46822C95"/>
    <w:rsid w:val="46967A84"/>
    <w:rsid w:val="479F076E"/>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922C96"/>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63C7C"/>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1D94A0C"/>
    <w:rsid w:val="62006A98"/>
    <w:rsid w:val="624C7731"/>
    <w:rsid w:val="626F5370"/>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021BD"/>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qFormat/>
    <w:uiPriority w:val="99"/>
    <w:pPr>
      <w:spacing w:line="400" w:lineRule="exact"/>
    </w:pPr>
  </w:style>
  <w:style w:type="paragraph" w:customStyle="1" w:styleId="159">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3122</Words>
  <Characters>3271</Characters>
  <Lines>315</Lines>
  <Paragraphs>88</Paragraphs>
  <TotalTime>0</TotalTime>
  <ScaleCrop>false</ScaleCrop>
  <LinksUpToDate>false</LinksUpToDate>
  <CharactersWithSpaces>3731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2025-01-22T03:39:24Z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9137F8F27866424ABAD042073B586E35_13</vt:lpwstr>
  </property>
  <property fmtid="{D5CDD505-2E9C-101B-9397-08002B2CF9AE}" pid="4" name="KSOTemplateDocerSaveRecord">
    <vt:lpwstr>eyJoZGlkIjoiMTUyMDA2ZjQ4N2YyNDAzZWJjY2U2NWNkZDY5ZDY4ZDAiLCJ1c2VySWQiOiI2OTIxMTkxNTcifQ==</vt:lpwstr>
  </property>
</Properties>
</file>