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cyan"/>
          <w:lang w:eastAsia="zh-CN"/>
        </w:rPr>
      </w:pPr>
      <w:r>
        <w:rPr>
          <w:rFonts w:hint="eastAsia" w:ascii="宋体" w:hAnsi="宋体" w:cs="宋体"/>
          <w:b/>
          <w:sz w:val="40"/>
          <w:szCs w:val="40"/>
        </w:rPr>
        <w:t>河南省胸科医院</w:t>
      </w:r>
      <w:r>
        <w:rPr>
          <w:rFonts w:hint="eastAsia" w:ascii="宋体" w:hAnsi="宋体" w:cs="宋体"/>
          <w:b/>
          <w:sz w:val="40"/>
          <w:szCs w:val="40"/>
          <w:lang w:eastAsia="zh-CN"/>
        </w:rPr>
        <w:t>心外手术器械</w:t>
      </w:r>
    </w:p>
    <w:p w14:paraId="4198787D">
      <w:pPr>
        <w:jc w:val="center"/>
        <w:rPr>
          <w:rFonts w:hint="eastAsia" w:ascii="宋体" w:hAnsi="宋体" w:cs="宋体" w:eastAsiaTheme="minorEastAsia"/>
          <w:b/>
          <w:color w:val="000000" w:themeColor="text1"/>
          <w:sz w:val="40"/>
          <w:szCs w:val="40"/>
          <w:u w:val="none"/>
          <w:lang w:eastAsia="zh-CN"/>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7"/>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r>
        <w:rPr>
          <w:rFonts w:hint="eastAsia" w:ascii="宋体" w:hAnsi="宋体" w:cs="宋体"/>
          <w:b/>
          <w:color w:val="000000" w:themeColor="text1"/>
          <w:sz w:val="40"/>
          <w:szCs w:val="40"/>
          <w:u w:val="none"/>
          <w:lang w:eastAsia="zh-CN"/>
          <w14:textFill>
            <w14:solidFill>
              <w14:schemeClr w14:val="tx1"/>
            </w14:solidFill>
          </w14:textFill>
        </w:rPr>
        <w:t>（二次）</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010</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1</w:t>
      </w:r>
      <w:r>
        <w:rPr>
          <w:rFonts w:hint="eastAsia" w:ascii="宋体" w:hAnsi="宋体" w:cs="宋体"/>
          <w:b/>
          <w:sz w:val="30"/>
          <w:szCs w:val="30"/>
          <w:highlight w:val="cyan"/>
        </w:rPr>
        <w:t>月</w:t>
      </w:r>
    </w:p>
    <w:p w14:paraId="597CC55E">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Theme="minorEastAsia"/>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心外手术器械</w:t>
      </w:r>
      <w:r>
        <w:rPr>
          <w:rFonts w:hint="eastAsia" w:ascii="宋体" w:hAnsi="宋体"/>
          <w:b/>
          <w:sz w:val="28"/>
          <w:szCs w:val="28"/>
          <w:highlight w:val="cyan"/>
        </w:rPr>
        <w:t>采购项目</w:t>
      </w:r>
      <w:r>
        <w:rPr>
          <w:rFonts w:hint="eastAsia" w:ascii="宋体" w:hAnsi="宋体"/>
          <w:b/>
          <w:sz w:val="28"/>
          <w:szCs w:val="28"/>
          <w:highlight w:val="cyan"/>
          <w:lang w:eastAsia="zh-CN"/>
        </w:rPr>
        <w:t>（二次）</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529A673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4F2F53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河南省胸科医院心外手术器械采购项目（二次）</w:t>
      </w:r>
      <w:r>
        <w:rPr>
          <w:rFonts w:hint="default" w:asciiTheme="minorEastAsia" w:hAnsiTheme="minorEastAsia" w:eastAsiaTheme="minorEastAsia" w:cstheme="minorEastAsia"/>
          <w:color w:val="333333"/>
          <w:sz w:val="24"/>
          <w:szCs w:val="24"/>
        </w:rPr>
        <w:t>。</w:t>
      </w:r>
    </w:p>
    <w:p w14:paraId="38C9BFB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35900FB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心外手术器械</w:t>
      </w:r>
      <w:r>
        <w:rPr>
          <w:rFonts w:hint="default" w:asciiTheme="minorEastAsia" w:hAnsiTheme="minorEastAsia" w:eastAsiaTheme="minorEastAsia" w:cstheme="minorEastAsia"/>
          <w:color w:val="333333"/>
          <w:sz w:val="24"/>
          <w:szCs w:val="24"/>
        </w:rPr>
        <w:t>1</w:t>
      </w:r>
      <w:r>
        <w:rPr>
          <w:rFonts w:hint="eastAsia" w:asciiTheme="minorEastAsia" w:hAnsiTheme="minorEastAsia" w:eastAsiaTheme="minorEastAsia" w:cstheme="minorEastAsia"/>
          <w:color w:val="333333"/>
          <w:sz w:val="24"/>
          <w:szCs w:val="24"/>
          <w:lang w:eastAsia="zh-CN"/>
        </w:rPr>
        <w:t>套</w:t>
      </w:r>
      <w:r>
        <w:rPr>
          <w:rFonts w:hint="default" w:asciiTheme="minorEastAsia" w:hAnsiTheme="minorEastAsia" w:eastAsiaTheme="minorEastAsia" w:cstheme="minorEastAsia"/>
          <w:color w:val="333333"/>
          <w:sz w:val="24"/>
          <w:szCs w:val="24"/>
        </w:rPr>
        <w:t>。</w:t>
      </w:r>
    </w:p>
    <w:p w14:paraId="77B1D37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2E7C0EF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30</w:t>
      </w:r>
      <w:r>
        <w:rPr>
          <w:rFonts w:hint="default" w:asciiTheme="minorEastAsia" w:hAnsiTheme="minorEastAsia" w:eastAsiaTheme="minorEastAsia" w:cstheme="minorEastAsia"/>
          <w:color w:val="333333"/>
          <w:sz w:val="24"/>
          <w:szCs w:val="24"/>
        </w:rPr>
        <w:t>万元。</w:t>
      </w:r>
    </w:p>
    <w:p w14:paraId="6A21123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1BF5F47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3E225C9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5E347DD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747A58C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3F7820D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1B11C6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73CEFA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0D9CD61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5648D4D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1502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30195F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15F342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23E39A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58AEF39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EB9801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1</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26</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2</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5</w:t>
      </w:r>
      <w:bookmarkStart w:id="68" w:name="_GoBack"/>
      <w:bookmarkEnd w:id="68"/>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3381642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4CA1567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300848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63F316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10D527F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0B204B4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3F01D48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1ED67D9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DD86B9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3802CA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5130AB6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82AABD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C5EB4D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74B0A6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bookmarkEnd w:id="2"/>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66EF22BE">
      <w:pPr>
        <w:numPr>
          <w:ilvl w:val="0"/>
          <w:numId w:val="0"/>
        </w:numPr>
        <w:spacing w:line="360" w:lineRule="auto"/>
        <w:rPr>
          <w:rFonts w:hint="eastAsia" w:ascii="宋体" w:hAnsi="宋体"/>
          <w:b/>
          <w:bCs/>
          <w:sz w:val="24"/>
        </w:rPr>
      </w:pPr>
      <w:r>
        <w:rPr>
          <w:rFonts w:hint="eastAsia" w:ascii="宋体" w:hAnsi="宋体" w:eastAsiaTheme="minorEastAsia" w:cstheme="minorBidi"/>
          <w:b/>
          <w:bCs/>
          <w:kern w:val="2"/>
          <w:sz w:val="24"/>
          <w:szCs w:val="22"/>
          <w:lang w:val="en-US" w:eastAsia="zh-CN" w:bidi="ar-SA"/>
        </w:rPr>
        <w:t>一、</w:t>
      </w:r>
      <w:r>
        <w:rPr>
          <w:rFonts w:hint="eastAsia" w:ascii="宋体" w:hAnsi="宋体"/>
          <w:b/>
          <w:bCs/>
          <w:sz w:val="24"/>
        </w:rPr>
        <w:t>技术要求</w:t>
      </w:r>
    </w:p>
    <w:p w14:paraId="5A1234FB">
      <w:pPr>
        <w:spacing w:line="360" w:lineRule="auto"/>
        <w:rPr>
          <w:rFonts w:hint="eastAsia" w:ascii="宋体" w:hAnsi="宋体" w:cs="宋体"/>
          <w:sz w:val="24"/>
          <w:lang w:val="en-US" w:eastAsia="zh-CN"/>
        </w:rPr>
      </w:pPr>
      <w:r>
        <w:rPr>
          <w:rFonts w:hint="eastAsia" w:ascii="宋体" w:hAnsi="宋体" w:cs="宋体"/>
          <w:sz w:val="24"/>
          <w:lang w:val="en-US" w:eastAsia="zh-CN"/>
        </w:rPr>
        <w:t>1、数量1套，主要用于心外科手术。</w:t>
      </w:r>
    </w:p>
    <w:p w14:paraId="187E83DF">
      <w:pPr>
        <w:spacing w:line="360" w:lineRule="auto"/>
        <w:rPr>
          <w:rFonts w:hint="eastAsia" w:ascii="宋体" w:hAnsi="宋体" w:cs="宋体"/>
          <w:sz w:val="24"/>
          <w:lang w:val="en-US" w:eastAsia="zh-CN"/>
        </w:rPr>
      </w:pPr>
      <w:r>
        <w:rPr>
          <w:rFonts w:hint="eastAsia" w:ascii="宋体" w:hAnsi="宋体" w:cs="宋体"/>
          <w:sz w:val="24"/>
          <w:lang w:val="en-US" w:eastAsia="zh-CN"/>
        </w:rPr>
        <w:t>2、手术剪刀1把：手术剪 总长20-21cm  125° 标准 8-10mm刀刃，医用不锈钢材质。</w:t>
      </w:r>
    </w:p>
    <w:p w14:paraId="17EB197A">
      <w:pPr>
        <w:spacing w:line="360" w:lineRule="auto"/>
        <w:rPr>
          <w:rFonts w:hint="eastAsia" w:ascii="宋体" w:hAnsi="宋体" w:cs="宋体"/>
          <w:sz w:val="24"/>
          <w:lang w:val="en-US" w:eastAsia="zh-CN"/>
        </w:rPr>
      </w:pPr>
      <w:r>
        <w:rPr>
          <w:rFonts w:hint="eastAsia" w:ascii="宋体" w:hAnsi="宋体" w:cs="宋体"/>
          <w:sz w:val="24"/>
          <w:lang w:val="en-US" w:eastAsia="zh-CN"/>
        </w:rPr>
        <w:t>3、手术剪刀1把：手术剪 总长20-21cm  25° 标准 8-10mm刀刃，医用不锈钢材质。</w:t>
      </w:r>
    </w:p>
    <w:p w14:paraId="08B8F2F5">
      <w:pPr>
        <w:spacing w:line="360" w:lineRule="auto"/>
        <w:rPr>
          <w:rFonts w:hint="eastAsia" w:ascii="宋体" w:hAnsi="宋体" w:cs="宋体"/>
          <w:sz w:val="24"/>
          <w:lang w:val="en-US" w:eastAsia="zh-CN"/>
        </w:rPr>
      </w:pPr>
      <w:r>
        <w:rPr>
          <w:rFonts w:hint="eastAsia" w:ascii="宋体" w:hAnsi="宋体" w:cs="宋体"/>
          <w:sz w:val="24"/>
          <w:lang w:val="en-US" w:eastAsia="zh-CN"/>
        </w:rPr>
        <w:t>4、手术剪刀2把：手术剪 总长20-21cm 弯 极锋利的，医用不锈钢材质。</w:t>
      </w:r>
    </w:p>
    <w:p w14:paraId="2E901163">
      <w:pPr>
        <w:spacing w:line="360" w:lineRule="auto"/>
        <w:rPr>
          <w:rFonts w:hint="eastAsia" w:ascii="宋体" w:hAnsi="宋体" w:cs="宋体"/>
          <w:sz w:val="24"/>
          <w:lang w:val="en-US" w:eastAsia="zh-CN"/>
        </w:rPr>
      </w:pPr>
      <w:r>
        <w:rPr>
          <w:rFonts w:hint="eastAsia" w:ascii="宋体" w:hAnsi="宋体" w:cs="宋体"/>
          <w:sz w:val="24"/>
          <w:lang w:val="en-US" w:eastAsia="zh-CN"/>
        </w:rPr>
        <w:t>5、显微镊1把：Debakey齿无创伤，医用镊1.0-1.2mm宽， 总长20-21cm直，带配重锤尾柄，医用不锈钢材质。</w:t>
      </w:r>
    </w:p>
    <w:p w14:paraId="6B54D424">
      <w:pPr>
        <w:spacing w:line="360" w:lineRule="auto"/>
        <w:rPr>
          <w:rFonts w:hint="eastAsia" w:ascii="宋体" w:hAnsi="宋体" w:cs="宋体"/>
          <w:sz w:val="24"/>
          <w:lang w:val="en-US" w:eastAsia="zh-CN"/>
        </w:rPr>
      </w:pPr>
      <w:r>
        <w:rPr>
          <w:rFonts w:hint="eastAsia" w:ascii="宋体" w:hAnsi="宋体" w:cs="宋体"/>
          <w:sz w:val="24"/>
          <w:lang w:val="en-US" w:eastAsia="zh-CN"/>
        </w:rPr>
        <w:t>6、镊子2把：医用镊 总长22-23cm 直头，头部0.7-0.8mm，带平台，平柄尾，医用不锈钢材质。</w:t>
      </w:r>
    </w:p>
    <w:p w14:paraId="467495FF">
      <w:pPr>
        <w:spacing w:line="360" w:lineRule="auto"/>
        <w:rPr>
          <w:rFonts w:hint="eastAsia" w:ascii="宋体" w:hAnsi="宋体" w:cs="宋体"/>
          <w:sz w:val="24"/>
          <w:lang w:val="en-US" w:eastAsia="zh-CN"/>
        </w:rPr>
      </w:pPr>
      <w:r>
        <w:rPr>
          <w:rFonts w:hint="eastAsia" w:ascii="宋体" w:hAnsi="宋体" w:cs="宋体"/>
          <w:sz w:val="24"/>
          <w:lang w:val="en-US" w:eastAsia="zh-CN"/>
        </w:rPr>
        <w:t>7、乳内镊2把：DeBakey医用镊 总长19-20cm  弯头，宽1.8-2.0mm，医用不锈钢材质。</w:t>
      </w:r>
    </w:p>
    <w:p w14:paraId="5D47C663">
      <w:pPr>
        <w:spacing w:line="360" w:lineRule="auto"/>
        <w:rPr>
          <w:rFonts w:hint="eastAsia" w:ascii="宋体" w:hAnsi="宋体" w:cs="宋体"/>
          <w:sz w:val="24"/>
          <w:lang w:val="en-US" w:eastAsia="zh-CN"/>
        </w:rPr>
      </w:pPr>
      <w:r>
        <w:rPr>
          <w:rFonts w:hint="eastAsia" w:ascii="宋体" w:hAnsi="宋体" w:cs="宋体"/>
          <w:sz w:val="24"/>
          <w:lang w:val="en-US" w:eastAsia="zh-CN"/>
        </w:rPr>
        <w:t>8、哈巴狗钳1个：精细显微止血夹 总长4.5-5cm  有角度，齿长14-16mm，自重2.8-3g, 咬合力200-210g, 医用不锈钢材质。</w:t>
      </w:r>
    </w:p>
    <w:p w14:paraId="30811D96">
      <w:pPr>
        <w:spacing w:line="360" w:lineRule="auto"/>
        <w:rPr>
          <w:rFonts w:hint="eastAsia" w:ascii="宋体" w:hAnsi="宋体" w:cs="宋体"/>
          <w:sz w:val="24"/>
          <w:lang w:val="en-US" w:eastAsia="zh-CN"/>
        </w:rPr>
      </w:pPr>
      <w:r>
        <w:rPr>
          <w:rFonts w:hint="eastAsia" w:ascii="宋体" w:hAnsi="宋体" w:cs="宋体"/>
          <w:sz w:val="24"/>
          <w:lang w:val="en-US" w:eastAsia="zh-CN"/>
        </w:rPr>
        <w:t>9、持针器2把：持针器 总长20-21cm，齿宽1.2-1.3mm 直，带锁扣，夹持5/0-7/0缝针，医用不锈钢材质。</w:t>
      </w:r>
    </w:p>
    <w:p w14:paraId="208521CF">
      <w:pPr>
        <w:spacing w:line="360" w:lineRule="auto"/>
        <w:rPr>
          <w:rFonts w:hint="eastAsia" w:ascii="宋体" w:hAnsi="宋体" w:cs="宋体"/>
          <w:sz w:val="24"/>
          <w:lang w:val="en-US" w:eastAsia="zh-CN"/>
        </w:rPr>
      </w:pPr>
      <w:r>
        <w:rPr>
          <w:rFonts w:hint="eastAsia" w:ascii="宋体" w:hAnsi="宋体" w:cs="宋体"/>
          <w:sz w:val="24"/>
          <w:lang w:val="en-US" w:eastAsia="zh-CN"/>
        </w:rPr>
        <w:t>10、持针器1把：持针器 总长20-21cm，齿宽0.8-0.9mm 直，带锁扣，夹持6/0-8/0缝针，医用不锈钢材质。</w:t>
      </w:r>
    </w:p>
    <w:p w14:paraId="4FD3132F">
      <w:pPr>
        <w:spacing w:line="360" w:lineRule="auto"/>
        <w:rPr>
          <w:rFonts w:hint="eastAsia" w:ascii="宋体" w:hAnsi="宋体" w:cs="宋体"/>
          <w:sz w:val="24"/>
          <w:lang w:val="en-US" w:eastAsia="zh-CN"/>
        </w:rPr>
      </w:pPr>
      <w:r>
        <w:rPr>
          <w:rFonts w:hint="eastAsia" w:ascii="宋体" w:hAnsi="宋体" w:cs="宋体"/>
          <w:sz w:val="24"/>
          <w:lang w:val="en-US" w:eastAsia="zh-CN"/>
        </w:rPr>
        <w:t>11、冠脉探条1个：外科牵开器 总长17-19cm 直径1.5mm，医用不锈钢材质。</w:t>
      </w:r>
    </w:p>
    <w:p w14:paraId="25E917F7">
      <w:pPr>
        <w:spacing w:line="360" w:lineRule="auto"/>
        <w:rPr>
          <w:rFonts w:hint="eastAsia" w:ascii="宋体" w:hAnsi="宋体" w:cs="宋体"/>
          <w:sz w:val="24"/>
          <w:lang w:val="en-US" w:eastAsia="zh-CN"/>
        </w:rPr>
      </w:pPr>
      <w:r>
        <w:rPr>
          <w:rFonts w:hint="eastAsia" w:ascii="宋体" w:hAnsi="宋体" w:cs="宋体"/>
          <w:sz w:val="24"/>
          <w:lang w:val="en-US" w:eastAsia="zh-CN"/>
        </w:rPr>
        <w:t>12、冠脉探条2个：外科牵开器 总长17-19cm 直径2.0mm，医用不锈钢材质。</w:t>
      </w:r>
    </w:p>
    <w:p w14:paraId="0F8B78AA">
      <w:pPr>
        <w:spacing w:line="360" w:lineRule="auto"/>
        <w:rPr>
          <w:rFonts w:hint="eastAsia" w:ascii="宋体" w:hAnsi="宋体"/>
          <w:b/>
          <w:bCs/>
          <w:sz w:val="24"/>
        </w:rPr>
      </w:pPr>
      <w:r>
        <w:rPr>
          <w:rFonts w:hint="eastAsia" w:ascii="宋体" w:hAnsi="宋体" w:cs="宋体"/>
          <w:sz w:val="24"/>
          <w:lang w:val="en-US" w:eastAsia="zh-CN"/>
        </w:rPr>
        <w:t>13、冠脉探条4个：外科牵开器 总长17-19cm 直径1.0mm，医用不锈钢材质。</w:t>
      </w:r>
    </w:p>
    <w:p w14:paraId="1D4387C0">
      <w:pPr>
        <w:spacing w:line="360" w:lineRule="auto"/>
        <w:rPr>
          <w:rFonts w:hint="eastAsia" w:ascii="宋体" w:hAnsi="宋体"/>
          <w:b/>
          <w:bCs/>
          <w:sz w:val="24"/>
        </w:rPr>
      </w:pPr>
    </w:p>
    <w:p w14:paraId="3E8C798A">
      <w:pPr>
        <w:spacing w:line="360" w:lineRule="auto"/>
        <w:rPr>
          <w:rFonts w:hint="eastAsia" w:ascii="宋体" w:hAnsi="宋体"/>
          <w:b/>
          <w:bCs/>
          <w:sz w:val="24"/>
        </w:rPr>
      </w:pPr>
    </w:p>
    <w:p w14:paraId="7F137FBB">
      <w:pPr>
        <w:spacing w:line="360" w:lineRule="auto"/>
        <w:rPr>
          <w:rFonts w:hint="eastAsia" w:ascii="宋体" w:hAnsi="宋体"/>
          <w:b/>
          <w:bCs/>
          <w:sz w:val="24"/>
        </w:rPr>
      </w:pPr>
    </w:p>
    <w:p w14:paraId="68CAD13B">
      <w:pPr>
        <w:spacing w:line="360" w:lineRule="auto"/>
        <w:rPr>
          <w:rFonts w:hint="eastAsia" w:ascii="宋体" w:hAnsi="宋体"/>
          <w:b/>
          <w:bCs/>
          <w:sz w:val="24"/>
        </w:rPr>
      </w:pPr>
    </w:p>
    <w:p w14:paraId="5291FB59">
      <w:pPr>
        <w:spacing w:line="360" w:lineRule="auto"/>
        <w:rPr>
          <w:rFonts w:ascii="宋体" w:hAnsi="宋体"/>
          <w:sz w:val="24"/>
        </w:rPr>
      </w:pPr>
      <w:r>
        <w:rPr>
          <w:rFonts w:hint="eastAsia" w:ascii="宋体" w:hAnsi="宋体"/>
          <w:b/>
          <w:bCs/>
          <w:sz w:val="24"/>
        </w:rPr>
        <w:t>二、商务要求</w:t>
      </w:r>
      <w:r>
        <w:rPr>
          <w:rFonts w:hint="eastAsia" w:ascii="宋体" w:hAnsi="宋体" w:cs="宋体"/>
          <w:sz w:val="24"/>
        </w:rPr>
        <w:t xml:space="preserve"> </w:t>
      </w:r>
    </w:p>
    <w:p w14:paraId="69A83E4A">
      <w:pPr>
        <w:spacing w:line="360" w:lineRule="auto"/>
        <w:rPr>
          <w:rFonts w:ascii="宋体" w:hAnsi="宋体" w:cs="宋体"/>
          <w:sz w:val="24"/>
        </w:rPr>
      </w:pPr>
      <w:r>
        <w:rPr>
          <w:rFonts w:hint="eastAsia" w:ascii="宋体" w:hAnsi="宋体" w:cs="宋体"/>
          <w:sz w:val="24"/>
        </w:rPr>
        <w:t>1.特定资格要求：</w:t>
      </w:r>
    </w:p>
    <w:p w14:paraId="7493BBAC">
      <w:pPr>
        <w:spacing w:line="360" w:lineRule="auto"/>
        <w:ind w:firstLine="240" w:firstLineChars="100"/>
        <w:rPr>
          <w:rFonts w:ascii="宋体" w:hAnsi="宋体" w:cs="宋体"/>
          <w:sz w:val="24"/>
        </w:rPr>
      </w:pPr>
      <w:r>
        <w:rPr>
          <w:rFonts w:hint="eastAsia" w:ascii="宋体" w:hAnsi="宋体" w:cs="宋体"/>
          <w:sz w:val="24"/>
        </w:rPr>
        <w:t>1.1 响应产品须具有医疗器械产品注册证或医疗器械产品备案凭证；</w:t>
      </w:r>
    </w:p>
    <w:p w14:paraId="49A2AE86">
      <w:pPr>
        <w:spacing w:line="360" w:lineRule="auto"/>
        <w:ind w:firstLine="240" w:firstLineChars="100"/>
        <w:rPr>
          <w:rFonts w:ascii="宋体" w:hAnsi="宋体" w:cs="宋体"/>
          <w:sz w:val="24"/>
        </w:rPr>
      </w:pPr>
      <w:r>
        <w:rPr>
          <w:rFonts w:hint="eastAsia" w:ascii="宋体" w:hAnsi="宋体" w:cs="宋体"/>
          <w:sz w:val="24"/>
        </w:rPr>
        <w:t>1.2 供应商如为生产厂家须具有相适应的生产资格（医疗器械生产许可证或医疗器械生产备案凭证）；如为代理商（经销商）须具有相应的经营资格（医疗器械经营许可证或医疗器械经营备案凭证）。</w:t>
      </w:r>
    </w:p>
    <w:p w14:paraId="4ECE2222">
      <w:pPr>
        <w:spacing w:line="360" w:lineRule="auto"/>
        <w:rPr>
          <w:rFonts w:ascii="宋体" w:hAnsi="宋体" w:cs="宋体"/>
          <w:b/>
          <w:bCs/>
          <w:color w:val="FF0000"/>
          <w:sz w:val="24"/>
        </w:rPr>
      </w:pPr>
      <w:r>
        <w:rPr>
          <w:rFonts w:hint="eastAsia" w:ascii="宋体" w:hAnsi="宋体" w:cs="宋体"/>
          <w:sz w:val="24"/>
        </w:rPr>
        <w:t>2.交货期：合同签订后</w:t>
      </w:r>
      <w:r>
        <w:rPr>
          <w:rFonts w:hint="eastAsia" w:ascii="宋体" w:hAnsi="宋体" w:cs="宋体"/>
          <w:b/>
          <w:bCs/>
          <w:color w:val="FF0000"/>
          <w:sz w:val="24"/>
          <w:lang w:val="en-US" w:eastAsia="zh-CN"/>
        </w:rPr>
        <w:t>60</w:t>
      </w:r>
      <w:r>
        <w:rPr>
          <w:rFonts w:hint="eastAsia" w:ascii="宋体" w:hAnsi="宋体" w:cs="宋体"/>
          <w:b/>
          <w:bCs/>
          <w:color w:val="FF0000"/>
          <w:sz w:val="24"/>
        </w:rPr>
        <w:t>日历天</w:t>
      </w:r>
    </w:p>
    <w:p w14:paraId="18273FBB">
      <w:pPr>
        <w:spacing w:line="360" w:lineRule="auto"/>
        <w:rPr>
          <w:rFonts w:hint="eastAsia" w:ascii="宋体" w:hAnsi="宋体" w:cs="宋体" w:eastAsiaTheme="minorEastAsia"/>
          <w:sz w:val="24"/>
          <w:lang w:val="en-US" w:eastAsia="zh-CN"/>
        </w:rPr>
      </w:pPr>
      <w:r>
        <w:rPr>
          <w:rFonts w:hint="eastAsia" w:ascii="宋体" w:hAnsi="宋体" w:cs="宋体"/>
          <w:bCs/>
          <w:sz w:val="24"/>
        </w:rPr>
        <w:t>3.是否接受进口产品</w:t>
      </w:r>
      <w:r>
        <w:rPr>
          <w:rFonts w:hint="eastAsia" w:ascii="宋体" w:hAnsi="宋体" w:cs="宋体"/>
          <w:b/>
          <w:bCs/>
          <w:color w:val="auto"/>
          <w:sz w:val="24"/>
        </w:rPr>
        <w:t>：</w:t>
      </w:r>
      <w:r>
        <w:rPr>
          <w:rFonts w:hint="eastAsia" w:ascii="宋体" w:hAnsi="宋体" w:cs="宋体"/>
          <w:b/>
          <w:bCs/>
          <w:color w:val="FF0000"/>
          <w:sz w:val="24"/>
          <w:lang w:val="en-US" w:eastAsia="zh-CN"/>
        </w:rPr>
        <w:t>是</w:t>
      </w:r>
    </w:p>
    <w:p w14:paraId="79724A89">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080EF3DB">
      <w:pPr>
        <w:spacing w:line="360" w:lineRule="auto"/>
        <w:rPr>
          <w:rFonts w:hint="eastAsia" w:ascii="宋体" w:hAnsi="宋体" w:cs="宋体"/>
          <w:sz w:val="24"/>
        </w:rPr>
      </w:pPr>
      <w:r>
        <w:rPr>
          <w:rFonts w:hint="eastAsia" w:ascii="宋体" w:hAnsi="宋体" w:cs="宋体"/>
          <w:sz w:val="24"/>
        </w:rPr>
        <w:t>5.履约保证金：</w:t>
      </w:r>
    </w:p>
    <w:p w14:paraId="3D0B062C">
      <w:pPr>
        <w:spacing w:line="360" w:lineRule="auto"/>
        <w:ind w:firstLine="240" w:firstLineChars="100"/>
        <w:rPr>
          <w:rFonts w:hint="default" w:ascii="Arial" w:hAnsi="Arial" w:cs="Arial"/>
          <w:b/>
          <w:bCs/>
          <w:color w:val="FF0000"/>
          <w:sz w:val="24"/>
          <w:lang w:val="en-US" w:eastAsia="zh-CN"/>
        </w:rPr>
      </w:pPr>
      <w:r>
        <w:rPr>
          <w:rFonts w:hint="eastAsia" w:ascii="宋体" w:hAnsi="宋体" w:cs="宋体"/>
          <w:sz w:val="24"/>
          <w:lang w:val="en-US" w:eastAsia="zh-CN"/>
        </w:rPr>
        <w:t>5.1成交供应商</w:t>
      </w:r>
      <w:r>
        <w:rPr>
          <w:rFonts w:hint="eastAsia" w:ascii="宋体" w:hAnsi="宋体" w:cs="宋体"/>
          <w:sz w:val="24"/>
        </w:rPr>
        <w:t>在</w:t>
      </w:r>
      <w:r>
        <w:rPr>
          <w:rFonts w:hint="eastAsia" w:ascii="宋体" w:hAnsi="宋体" w:cs="宋体"/>
          <w:sz w:val="24"/>
          <w:lang w:val="en-US" w:eastAsia="zh-CN"/>
        </w:rPr>
        <w:t>结果公告</w:t>
      </w:r>
      <w:r>
        <w:rPr>
          <w:rFonts w:hint="eastAsia" w:ascii="宋体" w:hAnsi="宋体" w:cs="宋体"/>
          <w:sz w:val="24"/>
        </w:rPr>
        <w:t>发出后向采购人提交履约保证金，履约保证金的金额为合同总价的</w:t>
      </w:r>
      <w:r>
        <w:rPr>
          <w:rFonts w:hint="default" w:ascii="Arial" w:hAnsi="Arial" w:cs="Arial"/>
          <w:b/>
          <w:bCs/>
          <w:color w:val="FF0000"/>
          <w:sz w:val="24"/>
        </w:rPr>
        <w:t>5%</w:t>
      </w:r>
    </w:p>
    <w:p w14:paraId="49F14D66">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5.2履约保证金缴纳的形式：银行转账；</w:t>
      </w:r>
    </w:p>
    <w:p w14:paraId="00CA526A">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履约保证金接收账户：河南省胸科医院</w:t>
      </w:r>
    </w:p>
    <w:p w14:paraId="0AC29D1E">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履约保证金接收账号：</w:t>
      </w:r>
      <w:r>
        <w:rPr>
          <w:rFonts w:hint="default" w:ascii="宋体" w:hAnsi="宋体" w:cs="宋体"/>
          <w:sz w:val="24"/>
          <w:lang w:val="en-US" w:eastAsia="zh-CN"/>
        </w:rPr>
        <w:t>7607 0157 4000 00953</w:t>
      </w:r>
    </w:p>
    <w:p w14:paraId="2D31DF5D">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开户行：浦东发展银行郑州东明支行</w:t>
      </w:r>
    </w:p>
    <w:p w14:paraId="666EB87E">
      <w:pPr>
        <w:spacing w:line="360" w:lineRule="auto"/>
        <w:ind w:firstLine="240" w:firstLineChars="100"/>
        <w:rPr>
          <w:rFonts w:hint="eastAsia" w:ascii="宋体" w:hAnsi="宋体" w:cs="宋体"/>
          <w:sz w:val="24"/>
          <w:lang w:val="en-US" w:eastAsia="zh-CN"/>
        </w:rPr>
      </w:pPr>
      <w:bookmarkStart w:id="5" w:name="_Hlk39601241"/>
      <w:r>
        <w:rPr>
          <w:rFonts w:hint="eastAsia" w:ascii="宋体" w:hAnsi="宋体" w:cs="宋体"/>
          <w:sz w:val="24"/>
          <w:lang w:val="en-US" w:eastAsia="zh-CN"/>
        </w:rPr>
        <w:t>履约保证金于质保期满后，依据响应文件，所承诺的优惠条件、售后服务计划、培训计划等执行到位后，按规定程序办理支付手续，一次性付清。</w:t>
      </w:r>
      <w:bookmarkEnd w:id="5"/>
    </w:p>
    <w:p w14:paraId="035E2881">
      <w:pPr>
        <w:numPr>
          <w:ilvl w:val="0"/>
          <w:numId w:val="0"/>
        </w:numPr>
        <w:spacing w:line="360" w:lineRule="auto"/>
        <w:rPr>
          <w:rFonts w:hint="eastAsia" w:ascii="宋体" w:hAnsi="宋体" w:cs="宋体"/>
          <w:sz w:val="24"/>
        </w:rPr>
      </w:pPr>
      <w:r>
        <w:rPr>
          <w:rFonts w:hint="eastAsia" w:ascii="宋体" w:hAnsi="宋体" w:cs="宋体" w:eastAsiaTheme="minorEastAsia"/>
          <w:kern w:val="2"/>
          <w:sz w:val="24"/>
          <w:szCs w:val="22"/>
          <w:lang w:val="en-US" w:eastAsia="zh-CN" w:bidi="ar-SA"/>
        </w:rPr>
        <w:t>6.</w:t>
      </w:r>
      <w:r>
        <w:rPr>
          <w:rFonts w:hint="eastAsia" w:ascii="宋体" w:hAnsi="宋体" w:cs="宋体"/>
          <w:sz w:val="24"/>
        </w:rPr>
        <w:t>付款方式：</w:t>
      </w:r>
    </w:p>
    <w:p w14:paraId="79170FFF">
      <w:pPr>
        <w:spacing w:line="360" w:lineRule="auto"/>
      </w:pPr>
      <w:r>
        <w:rPr>
          <w:rFonts w:hint="eastAsia" w:ascii="宋体" w:hAnsi="宋体" w:cs="宋体"/>
          <w:sz w:val="24"/>
          <w:lang w:val="en-US" w:eastAsia="zh-CN"/>
        </w:rPr>
        <w:t>合同签订后，设备按期交付，使用运行正常，验收合格之后，采购人向成交供应商支付合同总价的</w:t>
      </w:r>
      <w:r>
        <w:rPr>
          <w:rFonts w:hint="default" w:ascii="Arial" w:hAnsi="Arial" w:cs="Arial"/>
          <w:b/>
          <w:bCs/>
          <w:color w:val="FF0000"/>
          <w:sz w:val="24"/>
          <w:lang w:val="en-US" w:eastAsia="zh-CN"/>
        </w:rPr>
        <w:t>100%</w:t>
      </w:r>
      <w:r>
        <w:rPr>
          <w:rFonts w:hint="eastAsia" w:ascii="宋体" w:hAnsi="宋体" w:cs="宋体"/>
          <w:sz w:val="24"/>
          <w:lang w:val="en-US" w:eastAsia="zh-CN"/>
        </w:rPr>
        <w:t>货款。成交人在接收货款前，应向采购人开具正规发票。</w:t>
      </w:r>
    </w:p>
    <w:p w14:paraId="513DD8D8">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6" w:name="_Toc24908"/>
      <w:r>
        <w:rPr>
          <w:rFonts w:hint="eastAsia"/>
          <w:color w:val="auto"/>
          <w:sz w:val="28"/>
          <w:highlight w:val="none"/>
        </w:rPr>
        <w:t>第一部分资格证明文件</w:t>
      </w:r>
      <w:bookmarkEnd w:id="6"/>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7" w:name="_Toc2479"/>
      <w:bookmarkStart w:id="8" w:name="_Toc902"/>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7"/>
      <w:bookmarkEnd w:id="8"/>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9"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9"/>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10" w:name="_资格证明文件"/>
      <w:bookmarkEnd w:id="10"/>
      <w:bookmarkStart w:id="11" w:name="_Toc10534"/>
      <w:bookmarkStart w:id="12" w:name="_Toc31029"/>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1"/>
      <w:bookmarkEnd w:id="12"/>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3" w:name="_Toc11890"/>
      <w:bookmarkStart w:id="14" w:name="_Toc4559"/>
      <w:bookmarkStart w:id="15" w:name="_Toc26111"/>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3"/>
      <w:bookmarkEnd w:id="14"/>
      <w:bookmarkEnd w:id="15"/>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6" w:name="_Toc19319"/>
      <w:bookmarkStart w:id="17" w:name="_Toc569"/>
      <w:bookmarkStart w:id="18" w:name="_Toc24403"/>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6"/>
      <w:bookmarkEnd w:id="17"/>
      <w:bookmarkEnd w:id="18"/>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9" w:name="_Toc10542"/>
      <w:bookmarkStart w:id="20" w:name="_Toc1972"/>
    </w:p>
    <w:p w14:paraId="537A4B8A">
      <w:pPr>
        <w:pStyle w:val="4"/>
        <w:spacing w:before="0" w:after="0"/>
        <w:jc w:val="center"/>
        <w:rPr>
          <w:color w:val="auto"/>
          <w:sz w:val="28"/>
          <w:szCs w:val="28"/>
          <w:highlight w:val="none"/>
        </w:rPr>
      </w:pPr>
      <w:bookmarkStart w:id="21" w:name="_Toc32290"/>
      <w:r>
        <w:rPr>
          <w:rFonts w:hint="eastAsia"/>
          <w:color w:val="auto"/>
          <w:sz w:val="28"/>
          <w:szCs w:val="28"/>
          <w:highlight w:val="none"/>
        </w:rPr>
        <w:t>五、有依法缴纳税收和社会保障资金的良好记录</w:t>
      </w:r>
      <w:bookmarkEnd w:id="19"/>
      <w:bookmarkEnd w:id="20"/>
      <w:bookmarkEnd w:id="21"/>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2" w:name="_Toc8953"/>
      <w:bookmarkStart w:id="23" w:name="_Toc32668"/>
      <w:bookmarkStart w:id="24" w:name="_Toc3172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2"/>
      <w:bookmarkEnd w:id="23"/>
      <w:bookmarkEnd w:id="24"/>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5" w:name="_Toc6843"/>
      <w:bookmarkStart w:id="26" w:name="_Toc1551"/>
      <w:bookmarkStart w:id="27" w:name="_Toc2748"/>
      <w:r>
        <w:rPr>
          <w:rFonts w:hint="eastAsia" w:ascii="宋体" w:hAnsi="宋体" w:eastAsia="宋体" w:cs="宋体"/>
          <w:color w:val="auto"/>
          <w:kern w:val="0"/>
          <w:sz w:val="28"/>
          <w:szCs w:val="28"/>
          <w:highlight w:val="none"/>
          <w:lang w:val="en-US" w:eastAsia="zh-CN"/>
        </w:rPr>
        <w:t>产品资格</w:t>
      </w:r>
      <w:bookmarkEnd w:id="25"/>
      <w:bookmarkEnd w:id="26"/>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7"/>
    <w:p w14:paraId="6E6231A7">
      <w:pPr>
        <w:pStyle w:val="4"/>
        <w:spacing w:before="0" w:after="0"/>
        <w:jc w:val="center"/>
        <w:rPr>
          <w:rFonts w:hint="default"/>
          <w:color w:val="auto"/>
          <w:sz w:val="28"/>
          <w:szCs w:val="36"/>
          <w:highlight w:val="none"/>
          <w:lang w:val="en-US" w:eastAsia="zh-CN"/>
        </w:rPr>
      </w:pPr>
      <w:bookmarkStart w:id="28" w:name="_Toc24684"/>
      <w:bookmarkStart w:id="29" w:name="_Toc28259"/>
      <w:bookmarkStart w:id="30"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8"/>
      <w:bookmarkEnd w:id="29"/>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30"/>
      <w:bookmarkStart w:id="31" w:name="_Toc11219"/>
      <w:bookmarkStart w:id="32" w:name="_Toc28112"/>
      <w:bookmarkStart w:id="33"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1"/>
      <w:bookmarkEnd w:id="32"/>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3"/>
    <w:p w14:paraId="7B07547F">
      <w:pPr>
        <w:bidi w:val="0"/>
        <w:rPr>
          <w:rFonts w:hint="eastAsia"/>
          <w:lang w:eastAsia="zh-CN"/>
        </w:rPr>
      </w:pPr>
      <w:bookmarkStart w:id="34"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5"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4"/>
      <w:bookmarkEnd w:id="35"/>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6" w:name="_Toc29119"/>
      <w:r>
        <w:rPr>
          <w:rFonts w:hint="eastAsia"/>
          <w:color w:val="auto"/>
          <w:sz w:val="28"/>
          <w:highlight w:val="none"/>
        </w:rPr>
        <w:t>第二部分商务、技术文件</w:t>
      </w:r>
      <w:bookmarkEnd w:id="36"/>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magenta"/>
          <w:lang w:eastAsia="zh-CN"/>
        </w:rPr>
      </w:pPr>
      <w:bookmarkStart w:id="37"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7"/>
      <w:r>
        <w:rPr>
          <w:rFonts w:hint="eastAsia"/>
          <w:color w:val="auto"/>
          <w:sz w:val="28"/>
          <w:highlight w:val="magenta"/>
          <w:lang w:eastAsia="zh-CN"/>
        </w:rPr>
        <w:t>一览表</w:t>
      </w:r>
    </w:p>
    <w:p w14:paraId="2B18C251">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8" w:name="_Toc304219290"/>
      <w:bookmarkStart w:id="39" w:name="_Toc320878673"/>
      <w:bookmarkStart w:id="40" w:name="_Toc349642274"/>
      <w:bookmarkStart w:id="41" w:name="_Toc337475887"/>
      <w:bookmarkStart w:id="42"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8"/>
      <w:bookmarkEnd w:id="39"/>
      <w:bookmarkEnd w:id="40"/>
      <w:bookmarkEnd w:id="41"/>
      <w:bookmarkEnd w:id="42"/>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3" w:name="_Toc30834"/>
      <w:bookmarkStart w:id="44"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5"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5"/>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6" w:name="_Toc23117"/>
      <w:bookmarkStart w:id="47"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6"/>
      <w:bookmarkEnd w:id="47"/>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8" w:name="_Toc20496"/>
      <w:bookmarkStart w:id="49" w:name="_Toc2381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8"/>
      <w:bookmarkEnd w:id="49"/>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50" w:name="_Toc2922"/>
      <w:bookmarkStart w:id="51" w:name="_Toc4948"/>
      <w:bookmarkStart w:id="52" w:name="_Toc349642319"/>
      <w:bookmarkStart w:id="53" w:name="_Toc320878714"/>
      <w:bookmarkStart w:id="54" w:name="_Toc30765"/>
      <w:bookmarkStart w:id="55" w:name="_Toc29526"/>
      <w:bookmarkStart w:id="56" w:name="_Toc10750"/>
      <w:bookmarkStart w:id="57" w:name="_Toc337475928"/>
      <w:bookmarkStart w:id="58" w:name="_Toc12801"/>
      <w:bookmarkStart w:id="59" w:name="_Toc15867"/>
      <w:bookmarkStart w:id="60" w:name="_Toc304219331"/>
      <w:bookmarkStart w:id="61" w:name="_Toc4599"/>
      <w:bookmarkStart w:id="62" w:name="_Toc337554798"/>
      <w:bookmarkStart w:id="63" w:name="_Toc28583"/>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4" w:name="_Toc7716"/>
      <w:bookmarkStart w:id="65" w:name="_Toc8810"/>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6" w:name="_Toc11154"/>
      <w:bookmarkStart w:id="67" w:name="_Toc17593"/>
      <w:r>
        <w:rPr>
          <w:rFonts w:hint="eastAsia" w:asciiTheme="minorHAnsi" w:hAnsiTheme="minorHAnsi" w:eastAsiaTheme="minorEastAsia" w:cstheme="minorBidi"/>
          <w:b/>
          <w:bCs/>
          <w:kern w:val="2"/>
          <w:sz w:val="28"/>
          <w:szCs w:val="28"/>
          <w:lang w:val="en-US" w:eastAsia="zh-CN" w:bidi="ar-SA"/>
        </w:rPr>
        <w:t>十、</w:t>
      </w:r>
      <w:bookmarkEnd w:id="66"/>
      <w:bookmarkEnd w:id="67"/>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8712CE"/>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4C5C91"/>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312B21"/>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1A21C27"/>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59"/>
    <w:qFormat/>
    <w:uiPriority w:val="99"/>
    <w:pPr>
      <w:spacing w:line="400" w:lineRule="exact"/>
    </w:pPr>
  </w:style>
  <w:style w:type="paragraph" w:customStyle="1" w:styleId="159">
    <w:name w:val="正文_0"/>
    <w:next w:val="1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5733</Words>
  <Characters>6123</Characters>
  <Lines>315</Lines>
  <Paragraphs>88</Paragraphs>
  <TotalTime>3</TotalTime>
  <ScaleCrop>false</ScaleCrop>
  <LinksUpToDate>false</LinksUpToDate>
  <CharactersWithSpaces>6948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2025-01-24T07:49:58Z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68EBE0D18DAC4CC1918351BAC29D8238_13</vt:lpwstr>
  </property>
  <property fmtid="{D5CDD505-2E9C-101B-9397-08002B2CF9AE}" pid="4" name="KSOTemplateDocerSaveRecord">
    <vt:lpwstr>eyJoZGlkIjoiNDdiYzIwYzJkY2VlZTA0OGY0ZGI2YmQyZmFjZDk5NjQiLCJ1c2VySWQiOiIzNDU5NTk2NDkifQ==</vt:lpwstr>
  </property>
</Properties>
</file>