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468E8225">
      <w:pPr>
        <w:jc w:val="center"/>
        <w:rPr>
          <w:rFonts w:hint="eastAsia" w:ascii="宋体" w:hAnsi="宋体" w:cs="宋体"/>
          <w:b/>
          <w:sz w:val="40"/>
          <w:szCs w:val="40"/>
          <w:highlight w:val="none"/>
          <w:lang w:eastAsia="zh-CN"/>
        </w:rPr>
      </w:pPr>
      <w:r>
        <w:rPr>
          <w:rFonts w:hint="eastAsia" w:ascii="宋体" w:hAnsi="宋体" w:cs="宋体"/>
          <w:b/>
          <w:sz w:val="40"/>
          <w:szCs w:val="40"/>
          <w:highlight w:val="none"/>
        </w:rPr>
        <w:t>河南省胸科医院</w:t>
      </w:r>
      <w:r>
        <w:rPr>
          <w:rFonts w:hint="eastAsia" w:ascii="宋体" w:hAnsi="宋体" w:cs="宋体"/>
          <w:b/>
          <w:sz w:val="40"/>
          <w:szCs w:val="40"/>
          <w:highlight w:val="none"/>
          <w:lang w:eastAsia="zh-CN"/>
        </w:rPr>
        <w:t>外科教学模型采购项目</w:t>
      </w: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013</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3C19FBA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BA60A9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w:t>
      </w:r>
      <w:r>
        <w:rPr>
          <w:rFonts w:hint="eastAsia" w:ascii="宋体" w:hAnsi="宋体"/>
          <w:b/>
          <w:sz w:val="28"/>
          <w:szCs w:val="28"/>
          <w:highlight w:val="none"/>
        </w:rPr>
        <w:t>胸科医院</w:t>
      </w:r>
      <w:r>
        <w:rPr>
          <w:rFonts w:hint="eastAsia" w:ascii="宋体" w:hAnsi="宋体"/>
          <w:b/>
          <w:sz w:val="28"/>
          <w:szCs w:val="28"/>
          <w:highlight w:val="none"/>
          <w:lang w:eastAsia="zh-CN"/>
        </w:rPr>
        <w:t>外科教学模型采</w:t>
      </w:r>
      <w:r>
        <w:rPr>
          <w:rFonts w:hint="eastAsia" w:ascii="宋体" w:hAnsi="宋体"/>
          <w:b/>
          <w:sz w:val="28"/>
          <w:szCs w:val="28"/>
          <w:highlight w:val="none"/>
          <w:lang w:eastAsia="zh-CN"/>
        </w:rPr>
        <w:t>购项目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EB4533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河南省胸科医院外科教学模型采购项目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二、项</w:t>
      </w:r>
      <w:r>
        <w:rPr>
          <w:rFonts w:hint="default" w:asciiTheme="minorEastAsia" w:hAnsiTheme="minorEastAsia" w:eastAsiaTheme="minorEastAsia" w:cstheme="minorEastAsia"/>
          <w:color w:val="333333"/>
          <w:sz w:val="24"/>
          <w:szCs w:val="24"/>
          <w:highlight w:val="none"/>
        </w:rPr>
        <w:t>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val="en-US" w:eastAsia="zh-CN"/>
        </w:rPr>
        <w:t>外</w:t>
      </w:r>
      <w:r>
        <w:rPr>
          <w:rFonts w:hint="eastAsia" w:asciiTheme="minorEastAsia" w:hAnsiTheme="minorEastAsia" w:eastAsiaTheme="minorEastAsia" w:cstheme="minorEastAsia"/>
          <w:color w:val="333333"/>
          <w:sz w:val="24"/>
          <w:szCs w:val="24"/>
          <w:highlight w:val="none"/>
          <w:lang w:eastAsia="zh-CN"/>
        </w:rPr>
        <w:t>科教学模型</w:t>
      </w:r>
      <w:r>
        <w:rPr>
          <w:rFonts w:hint="default" w:asciiTheme="minorEastAsia" w:hAnsiTheme="minorEastAsia" w:eastAsiaTheme="minorEastAsia" w:cstheme="minorEastAsia"/>
          <w:color w:val="333333"/>
          <w:sz w:val="24"/>
          <w:szCs w:val="24"/>
          <w:highlight w:val="none"/>
        </w:rPr>
        <w:t>1</w:t>
      </w:r>
      <w:r>
        <w:rPr>
          <w:rFonts w:hint="eastAsia" w:asciiTheme="minorEastAsia" w:hAnsiTheme="minorEastAsia" w:eastAsiaTheme="minorEastAsia" w:cstheme="minorEastAsia"/>
          <w:color w:val="333333"/>
          <w:sz w:val="24"/>
          <w:szCs w:val="24"/>
          <w:highlight w:val="none"/>
          <w:lang w:val="en-US" w:eastAsia="zh-CN"/>
        </w:rPr>
        <w:t>批</w:t>
      </w:r>
      <w:r>
        <w:rPr>
          <w:rFonts w:hint="default" w:asciiTheme="minorEastAsia" w:hAnsiTheme="minorEastAsia" w:eastAsiaTheme="minorEastAsia" w:cstheme="minorEastAsia"/>
          <w:color w:val="333333"/>
          <w:sz w:val="24"/>
          <w:szCs w:val="24"/>
          <w:highlight w:val="none"/>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21</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AD1A5DA"/>
    <w:p w14:paraId="385D999D">
      <w:pPr>
        <w:rPr>
          <w:spacing w:val="7"/>
        </w:rPr>
      </w:pPr>
      <w:r>
        <w:rPr>
          <w:spacing w:val="7"/>
        </w:rPr>
        <w:br w:type="page"/>
      </w:r>
    </w:p>
    <w:p w14:paraId="4A8FC21A">
      <w:pPr>
        <w:pStyle w:val="29"/>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联系人：李老师</w:t>
            </w:r>
          </w:p>
          <w:p w14:paraId="6066A892">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议价地点另行通知</w:t>
            </w:r>
            <w:bookmarkStart w:id="60" w:name="_GoBack"/>
            <w:bookmarkEnd w:id="60"/>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E01C371">
      <w:pPr>
        <w:widowControl/>
        <w:numPr>
          <w:ilvl w:val="0"/>
          <w:numId w:val="1"/>
        </w:numPr>
        <w:jc w:val="center"/>
        <w:rPr>
          <w:rFonts w:ascii="宋体" w:hAnsi="宋体"/>
          <w:b/>
          <w:sz w:val="32"/>
          <w:szCs w:val="32"/>
          <w:highlight w:val="cyan"/>
        </w:rPr>
      </w:pPr>
      <w:r>
        <w:rPr>
          <w:rFonts w:hint="eastAsia" w:ascii="宋体" w:hAnsi="宋体"/>
          <w:b/>
          <w:sz w:val="32"/>
          <w:szCs w:val="32"/>
          <w:highlight w:val="cyan"/>
        </w:rPr>
        <w:t xml:space="preserve">  采购需求</w:t>
      </w:r>
      <w:bookmarkStart w:id="1" w:name="_Toc2902"/>
      <w:bookmarkStart w:id="2" w:name="_Toc6661845"/>
    </w:p>
    <w:bookmarkEnd w:id="1"/>
    <w:bookmarkEnd w:id="2"/>
    <w:p w14:paraId="549597FE">
      <w:pPr>
        <w:numPr>
          <w:ilvl w:val="0"/>
          <w:numId w:val="0"/>
        </w:numPr>
        <w:spacing w:line="360" w:lineRule="auto"/>
        <w:rPr>
          <w:rFonts w:hint="eastAsia" w:ascii="宋体" w:hAnsi="宋体" w:cs="宋体"/>
          <w:b/>
          <w:bCs/>
          <w:color w:val="auto"/>
          <w:sz w:val="24"/>
          <w:szCs w:val="24"/>
          <w:lang w:eastAsia="zh-CN"/>
        </w:rPr>
      </w:pPr>
    </w:p>
    <w:p w14:paraId="20F22AB3">
      <w:pPr>
        <w:numPr>
          <w:ilvl w:val="0"/>
          <w:numId w:val="0"/>
        </w:numPr>
        <w:spacing w:line="360" w:lineRule="auto"/>
        <w:rPr>
          <w:rFonts w:hint="eastAsia" w:ascii="宋体" w:hAnsi="宋体" w:cs="宋体"/>
          <w:b/>
          <w:bCs/>
          <w:color w:val="auto"/>
          <w:sz w:val="24"/>
          <w:szCs w:val="24"/>
          <w:lang w:eastAsia="zh-CN"/>
        </w:rPr>
      </w:pPr>
    </w:p>
    <w:p w14:paraId="3880AB02">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7C6C62DA">
      <w:pPr>
        <w:spacing w:line="360" w:lineRule="auto"/>
        <w:rPr>
          <w:rFonts w:hint="eastAsia" w:ascii="宋体" w:hAnsi="宋体" w:cs="宋体"/>
          <w:b/>
          <w:bCs/>
          <w:sz w:val="24"/>
          <w:szCs w:val="24"/>
          <w:lang w:val="en-US" w:eastAsia="zh-CN"/>
        </w:rPr>
      </w:pPr>
      <w:r>
        <w:rPr>
          <w:rFonts w:hint="eastAsia" w:ascii="宋体" w:hAnsi="宋体" w:cs="宋体"/>
          <w:b/>
          <w:bCs/>
          <w:color w:val="FF0000"/>
          <w:sz w:val="24"/>
          <w:szCs w:val="24"/>
          <w:lang w:val="en-US" w:eastAsia="zh-CN"/>
        </w:rPr>
        <w:t>（一）洗胃训练模型（3个）</w:t>
      </w:r>
    </w:p>
    <w:p w14:paraId="2896AE4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1.成人男性上半身，解剖结构精确，包括：鼻腔、口腔、牙、舌、悬雍垂、会厌、声带、气管、支气管、双肺、食管、胃、肝脏、小肠等，手感真实，胃部采用高强度透明材料制成。</w:t>
      </w:r>
    </w:p>
    <w:p w14:paraId="506F5CC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2.透明胸壁，可以直接观看到胸腔内逼真的脏器结构，可全程观察胃管进出胃腔的过程，胃管头端的位置，灌洗液在胃腔内的冲洗情况，可检验操作是否正确。</w:t>
      </w:r>
    </w:p>
    <w:p w14:paraId="02330D0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3.可经口或鼻置入胃管；进行鼻饲、洗胃术、止血、胃镜检查等操作，操作正确时，可抽出模拟胃液，操作完成后，消化道内液体可排出体外。</w:t>
      </w:r>
    </w:p>
    <w:p w14:paraId="44DDFF9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4.可使用胃管洗胃法、电动吸引器洗胃法、洗胃机洗胃法等多种方法模拟洗胃操作训练。</w:t>
      </w:r>
    </w:p>
    <w:p w14:paraId="4D3EE8B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5.可进行胃液采集法、十二指肠引流术实验室检查和胃肠减压术、三腔二囊管压迫止血等操作训练。</w:t>
      </w:r>
    </w:p>
    <w:p w14:paraId="6695324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6.可经口或鼻进行吸痰法操作训练。</w:t>
      </w:r>
    </w:p>
    <w:p w14:paraId="01E660C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7.可进行口腔护理、鼻饲法、氧气吸入疗法。</w:t>
      </w:r>
    </w:p>
    <w:p w14:paraId="1CA47C1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8.可经口或鼻气管插管法、气管切开术后护理。</w:t>
      </w:r>
    </w:p>
    <w:p w14:paraId="510E042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9.模拟牙关紧闭、模拟双侧颈动脉搏动。</w:t>
      </w:r>
    </w:p>
    <w:p w14:paraId="5E68BED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10.真实的瞳孔对光反射，瞳孔大小可自动根据光线强弱调节。</w:t>
      </w:r>
    </w:p>
    <w:p w14:paraId="3B97DE2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11.可手动调节瞳孔针尖、正常、散大等状态。</w:t>
      </w:r>
    </w:p>
    <w:p w14:paraId="02D1D59E">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12.主要配置清单：洗胃模型，1台；瞳孔控制器，1个。</w:t>
      </w:r>
    </w:p>
    <w:p w14:paraId="0BCF7E2A">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（二）高级电子肩关节腔内注射模型（1个）</w:t>
      </w:r>
    </w:p>
    <w:p w14:paraId="1FA79CB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1.肩关节腔内注射模型，具有肩胛骨、锁骨、肱骨、三角肌、肱二头肌及肩关节韧带等，便于肩关节穿刺正确定位。</w:t>
      </w:r>
    </w:p>
    <w:p w14:paraId="481655A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2.具有学习穿刺注射时病人的标准体位（坐位）。</w:t>
      </w:r>
    </w:p>
    <w:p w14:paraId="30236F6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3.可从肩关节腔（前方入路）、肩关节腔（后方入路）、肩峰下滑囊、肩锁关节、肱二头肌长头的肌腱腱鞘、肩胛上神经阻滞进行穿刺注射。</w:t>
      </w:r>
    </w:p>
    <w:p w14:paraId="70228FD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4.穿刺部位正确时，控制盒上会有相应指示灯提示。</w:t>
      </w:r>
    </w:p>
    <w:p w14:paraId="4C5BB94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5.主要配置清单：高级电子肩关节腔内注射模型，1台；高级电子肩关节腔内注射模型控制盒，1个。    </w:t>
      </w:r>
    </w:p>
    <w:p w14:paraId="199E7837">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（三）高级电子肘关节腔内注射模型（1个）</w:t>
      </w:r>
    </w:p>
    <w:p w14:paraId="64F3737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1.肘关节腔内注射模型，具有肱骨内、外上髁、尺神经、尺骨、桡骨、肘关节腔等。</w:t>
      </w:r>
    </w:p>
    <w:p w14:paraId="3C0C49C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2.具有高尔夫肘和网球肘的治疗体位。</w:t>
      </w:r>
    </w:p>
    <w:p w14:paraId="51338DA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3.右臂肘关节弯曲，可沿固定轴旋，用于肘关节损伤和炎症的软组织关节腔内注射治疗训练。</w:t>
      </w:r>
    </w:p>
    <w:p w14:paraId="3733B03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4.压痛点按压正确、穿刺部位正确及当针头刺入肱骨内上髁后方的尺神经时控制盒上均有相应的指示灯显示。</w:t>
      </w:r>
    </w:p>
    <w:p w14:paraId="2752B859">
      <w:pPr>
        <w:spacing w:line="360" w:lineRule="auto"/>
        <w:rPr>
          <w:rFonts w:hint="eastAsia" w:ascii="宋体" w:hAnsi="宋体" w:cs="宋体"/>
          <w:b w:val="0"/>
          <w:bCs w:val="0"/>
          <w:sz w:val="24"/>
          <w:szCs w:val="24"/>
          <w:lang w:val="en-US" w:eastAsia="zh-CN"/>
        </w:rPr>
      </w:pPr>
      <w:bookmarkStart w:id="3" w:name="OLE_LINK1"/>
      <w:r>
        <w:rPr>
          <w:rFonts w:hint="eastAsia" w:ascii="宋体" w:hAnsi="宋体" w:cs="宋体"/>
          <w:b w:val="0"/>
          <w:bCs w:val="0"/>
          <w:sz w:val="24"/>
          <w:szCs w:val="24"/>
          <w:lang w:val="en-US" w:eastAsia="zh-CN"/>
        </w:rPr>
        <w:t xml:space="preserve">5.主要配置清单：高级电子肘关节腔内注射模型，1台；高级电子肘关节腔内注射模型控制盒，1个。   </w:t>
      </w:r>
    </w:p>
    <w:bookmarkEnd w:id="3"/>
    <w:p w14:paraId="2FE7C65B">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（四）外科缝合包扎展示模型（2个）</w:t>
      </w:r>
    </w:p>
    <w:p w14:paraId="114D6CF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1.多个标准手术切口，可用于练习和提高各种伤口的护理、清洗、换药、包扎等基本技术。</w:t>
      </w:r>
    </w:p>
    <w:p w14:paraId="6085544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切口包括：甲状腺切除术、胸骨正中切口伴胸腔引流管（根）、右侧乳房切除术伴导管引流术、右侧胆囊切除术伴T管引流、剖腹探察术、右侧阑尾切除术、右侧结肠造口术（人工肛门）、右侧回肠造口术、腹部子宫切除术（横切口）、左侧胸廓切开术、右侧肾切除术（斜切口）、背部椎板切除术、骶骨压疮（褥疮）溃疡，第II期、右侧大腿截肢残端、右侧腋窝腋臭手术切口（横形缝合）、乳房脓肿切口（放射状或弧形切口）、气胸置管引流、耻骨上膀胱造瘘术、腹股沟斜疝切除术、股动脉穿刺切口等。</w:t>
      </w:r>
    </w:p>
    <w:p w14:paraId="659CDD4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3.主要配置清单：外科缝合包扎展示模型，1台。    </w:t>
      </w:r>
    </w:p>
    <w:p w14:paraId="4D600819">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（五）剖腹手术切开缝合模型（1个）</w:t>
      </w:r>
    </w:p>
    <w:p w14:paraId="34D60BC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1.可进行皮肤、血管、肠管、深部组织的切开、缝合、打结等技能操作训练。</w:t>
      </w:r>
    </w:p>
    <w:p w14:paraId="4E5B63D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2.模拟腹壁基本解剖结构：皮肤、皮下组织、腹壁肌肉和腹膜等。</w:t>
      </w:r>
    </w:p>
    <w:p w14:paraId="5A43B16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3.腹腔内加压后可使腹壁垫处于紧张状态，模拟腹腔内环绕的肠管，训练学生在剖腹和关腹手术操作时避免损伤腹腔内的肠管。</w:t>
      </w:r>
    </w:p>
    <w:p w14:paraId="69A729E6">
      <w:pPr>
        <w:spacing w:line="360" w:lineRule="auto"/>
        <w:rPr>
          <w:rFonts w:hint="default" w:ascii="宋体" w:hAnsi="宋体" w:cs="宋体"/>
          <w:b w:val="0"/>
          <w:bCs w:val="0"/>
          <w:sz w:val="24"/>
          <w:szCs w:val="24"/>
          <w:lang w:val="en-US" w:eastAsia="zh-CN"/>
        </w:rPr>
      </w:pPr>
      <w:r>
        <w:rPr>
          <w:rFonts w:hint="eastAsia" w:ascii="宋体" w:hAnsi="宋体" w:cs="宋体"/>
          <w:b w:val="0"/>
          <w:bCs w:val="0"/>
          <w:color w:val="auto"/>
          <w:sz w:val="24"/>
          <w:szCs w:val="24"/>
          <w:lang w:val="en-US" w:eastAsia="zh-CN"/>
        </w:rPr>
        <w:t>4.主要配置清单：剖腹手术切开缝合模型，1台；腹壁垫和腹膜片，1块；豪华便携式铝塑箱，1只。</w:t>
      </w:r>
    </w:p>
    <w:p w14:paraId="607F3847">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（六）腹腔镜模拟训练器（1台）</w:t>
      </w:r>
    </w:p>
    <w:p w14:paraId="7FC696E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1.高清显示器：1台  实时显示模拟操作画面</w:t>
      </w:r>
    </w:p>
    <w:p w14:paraId="531A259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 产品类型：LED显示器，广视角显示器</w:t>
      </w:r>
    </w:p>
    <w:p w14:paraId="01B1BA8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 屏幕尺寸≥20英寸</w:t>
      </w:r>
    </w:p>
    <w:p w14:paraId="4AB84AC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 最佳分辨率≥1920x1080</w:t>
      </w:r>
    </w:p>
    <w:p w14:paraId="2CBE3F8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 屏幕比例：16:9（宽屏）</w:t>
      </w:r>
    </w:p>
    <w:p w14:paraId="384EAE4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1.5 高清标准≥1080p</w:t>
      </w:r>
    </w:p>
    <w:p w14:paraId="4DA8F2B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2.仿生训练箱：1个   要求可放置模拟操作模块及动物肝脏进行腹腔镜手眼协调、缝合等一系列训练模块。</w:t>
      </w:r>
    </w:p>
    <w:p w14:paraId="12CB952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2.1 光源：LED可调光源。</w:t>
      </w:r>
    </w:p>
    <w:p w14:paraId="1010464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2.2 接口：Type C接口</w:t>
      </w:r>
    </w:p>
    <w:p w14:paraId="69B3F53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2.3 材料：塑料</w:t>
      </w:r>
    </w:p>
    <w:p w14:paraId="4787FB7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3.推车升降平台：1个  设备可根据需要移动位置，并可以电动升降</w:t>
      </w:r>
    </w:p>
    <w:p w14:paraId="0A2212D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3.1 台面尺寸：≥480*400 mm</w:t>
      </w:r>
    </w:p>
    <w:p w14:paraId="68F3D3E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3.2 升降高度：≥630*800 mm</w:t>
      </w:r>
    </w:p>
    <w:p w14:paraId="41C0F41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3.3 产品重量：≥17 kg</w:t>
      </w:r>
    </w:p>
    <w:p w14:paraId="3B78427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3.4 输入电压：220V / 50Hz</w:t>
      </w:r>
    </w:p>
    <w:p w14:paraId="0CB6ABA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4.摄像头：1个 ≥1080P高清，30度 可调焦，可直接连显示器。</w:t>
      </w:r>
    </w:p>
    <w:p w14:paraId="2005BC8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 分辨率：≥1920*1080P</w:t>
      </w:r>
    </w:p>
    <w:p w14:paraId="49E4F9E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4.2 尺寸：≥10* 400mm</w:t>
      </w:r>
    </w:p>
    <w:p w14:paraId="1827A81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4.3 对焦：手动对焦</w:t>
      </w:r>
    </w:p>
    <w:p w14:paraId="3D40B81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4.4 接口：USB + HDMI</w:t>
      </w:r>
    </w:p>
    <w:p w14:paraId="2EE0041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4.5 视野角度：0 度/30 度（二选一） 广角</w:t>
      </w:r>
    </w:p>
    <w:p w14:paraId="2033E1B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5.器械以及训练箱模块：1个    存放训练操作模块、训练器械及其他备品备件</w:t>
      </w:r>
    </w:p>
    <w:p w14:paraId="14AD90C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5.1 模拟手术器械：弯分离钳：1把、抓钳：1把 、持针器：1把、弯剪：1把</w:t>
      </w:r>
    </w:p>
    <w:p w14:paraId="7279986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5.2 3D缝合模块    用于缝合打结练习</w:t>
      </w:r>
    </w:p>
    <w:p w14:paraId="2A75EAB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5.3 肠管       用于肠管吻合练习</w:t>
      </w:r>
    </w:p>
    <w:p w14:paraId="1DF9A2F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5.4 夹珠模块     用于手眼协调练习</w:t>
      </w:r>
    </w:p>
    <w:p w14:paraId="4943F05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5.5 FLS套扎模块       用于双手配合、空间感知练习</w:t>
      </w:r>
    </w:p>
    <w:p w14:paraId="6C40DD3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5.6 FLS搬运+牵拉模块   用于双手配合、空间感知练习</w:t>
      </w:r>
    </w:p>
    <w:p w14:paraId="577C270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5.7 FLS剪切模块（纱布+硅胶皮）     用于训练剪切技能</w:t>
      </w:r>
    </w:p>
    <w:p w14:paraId="7679F6C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5.8 FLS 体内缝合模块    用于缝合打结练习</w:t>
      </w:r>
    </w:p>
    <w:p w14:paraId="1F40E3A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5.9 定点缝合练习          用于缝合打结练习</w:t>
      </w:r>
    </w:p>
    <w:p w14:paraId="622DFF7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5.10 剥离模块      用于剪切剥离练习</w:t>
      </w:r>
    </w:p>
    <w:p w14:paraId="52EEEF8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5.11 穿线模块             用于双手配合、空间感知练习</w:t>
      </w:r>
    </w:p>
    <w:p w14:paraId="1BB2A80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6.该系统支持在硅胶表层使用Trocar穿刺建立入路。</w:t>
      </w:r>
    </w:p>
    <w:p w14:paraId="3F307EC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7.该系统支持摄像头可以360度转动，镜头手动对焦，可以实现与临床一致的镜头位置和角度。</w:t>
      </w:r>
    </w:p>
    <w:p w14:paraId="45CFEE4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8.训练箱有抽屉，而且可以翻盖，方便取放训练模块；</w:t>
      </w:r>
    </w:p>
    <w:p w14:paraId="0A63DDA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9.腹腔镜训练箱设有专用手眼协调训练模块，配合腔镜训练使用；</w:t>
      </w:r>
    </w:p>
    <w:p w14:paraId="607D294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10.腹腔镜训练箱包含专用皮肤、肠管。由硅胶制成，手感与人体组织接近；</w:t>
      </w:r>
    </w:p>
    <w:p w14:paraId="2BD7D0C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11.配备推车，与训练箱为分体式设计，推车平台有万向轮，方便移动摆放；推车平台可电动升降；</w:t>
      </w:r>
    </w:p>
    <w:p w14:paraId="14C4D21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12.推车平台带有抽屉，可放小物品；</w:t>
      </w:r>
    </w:p>
    <w:p w14:paraId="740D946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13.推车平台配显示器支架，方便安装， 360°可以旋转调节。</w:t>
      </w:r>
    </w:p>
    <w:p w14:paraId="0BC3F9F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14.功能要求：</w:t>
      </w:r>
    </w:p>
    <w:p w14:paraId="0111AF2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14.1.FLS套扎模块</w:t>
      </w:r>
    </w:p>
    <w:p w14:paraId="53599CC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14.2基本的套扎练习，在训练箱外设置和圈套，插入训练箱，进行套扎练习。</w:t>
      </w:r>
    </w:p>
    <w:p w14:paraId="180D74D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14.3手眼协调训练模块 （FLS搬运+牵拉模块，穿线模块， 夹珠模块）</w:t>
      </w:r>
    </w:p>
    <w:p w14:paraId="2B77388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14.4.FLS搬运+牵拉模块：把左边的三角形硅胶迅速的通过分离钳和抓钳 合作放置到右侧立柱上，越快越好，训练学员的手术协调能力以及操作稳定能力。</w:t>
      </w:r>
    </w:p>
    <w:p w14:paraId="68DD812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14.5.夹珠模块： 学员通过将不同颜色、大小的珠子分别从栏内取出，归类放到指定柱子上，可训练学员定位能力和手眼协调能力。</w:t>
      </w:r>
    </w:p>
    <w:p w14:paraId="47F5A59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14.6.穿线模块：学员通过将铁丝线通过多层圈套，最终取出，锻炼学员的双手协调以及器械的使用熟练程度。</w:t>
      </w:r>
    </w:p>
    <w:p w14:paraId="439389C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14.7.缝合打结训练模块 （3D 缝合模块， FLS体内缝合模块， 精准缝合模块。）</w:t>
      </w:r>
    </w:p>
    <w:p w14:paraId="234F895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14.8.可训练学员正确使用持针器，并选择正确进针位置；</w:t>
      </w:r>
    </w:p>
    <w:p w14:paraId="3A345B0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14.9.可训练临床各种打结方法，单节、方结、外科结等；</w:t>
      </w:r>
    </w:p>
    <w:p w14:paraId="1EAE864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14.10.可训练体内缝合技能，如连续缝合，间断缝合。</w:t>
      </w:r>
    </w:p>
    <w:p w14:paraId="5CE2B79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14.11.肠管吻合训练模块：可训练利用不同方法将断段肠管吻合，进行肠管吻合术训练。</w:t>
      </w:r>
    </w:p>
    <w:p w14:paraId="2E1DD14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14.12.剪切技能训练模块：训练学员进行临床腹腔镜下剪切技巧技能。</w:t>
      </w:r>
    </w:p>
    <w:p w14:paraId="21F8363A">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15.主要配置清单：腹腔镜模拟训练器，1台；显示器，1台。</w:t>
      </w:r>
    </w:p>
    <w:p w14:paraId="75FDFAA1">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（七）缝合皮（1箱）</w:t>
      </w:r>
    </w:p>
    <w:p w14:paraId="665F651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1.缝合练习模块包括三层解剖结构：皮肤、脂肪和肌肉层，皮肤层下放置有防止缝合撕裂的网膜。</w:t>
      </w:r>
    </w:p>
    <w:p w14:paraId="2BC0D25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2.可自行在任何部位进行切开缝合练习，可进行拆线术练习。</w:t>
      </w:r>
    </w:p>
    <w:p w14:paraId="2BDF4E4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3.模块附底座。</w:t>
      </w:r>
    </w:p>
    <w:p w14:paraId="45937A6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4.主要配置清单：缝合模块,1块。</w:t>
      </w:r>
    </w:p>
    <w:p w14:paraId="249D0E21">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（八）胃管置入模型人（3个）</w:t>
      </w:r>
    </w:p>
    <w:p w14:paraId="0FFA580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1.基础护理：包括洗脸，洗头，眼、耳清洗滴药等。</w:t>
      </w:r>
    </w:p>
    <w:p w14:paraId="4090356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2.上下固定的假牙，可进行口腔护理操作训练。</w:t>
      </w:r>
    </w:p>
    <w:p w14:paraId="03B2CA3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3.经口咽、鼻咽插入吸痰管，模拟吸痰操作。</w:t>
      </w:r>
    </w:p>
    <w:p w14:paraId="3833F04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4.具有鼻中隔，可练习鼻导管给氧，口面罩给氧等。</w:t>
      </w:r>
    </w:p>
    <w:p w14:paraId="686EDD1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5.气管切开护理。</w:t>
      </w:r>
    </w:p>
    <w:p w14:paraId="6E918BE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6.经口鼻插入鼻饲管或胃管，进行鼻饲喂养、给药，洗胃、胃肠减压操作训练。</w:t>
      </w:r>
    </w:p>
    <w:p w14:paraId="7A6DB58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7.智慧教学功能</w:t>
      </w:r>
    </w:p>
    <w:p w14:paraId="769CE77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7.1手机靠近设备即可自动感应，即可进入吸痰智慧教学助手功能，大大提升学习的效率和便捷性。</w:t>
      </w:r>
    </w:p>
    <w:p w14:paraId="2651651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7.2 可进行高级吸痰练习模型的使用学习。</w:t>
      </w:r>
    </w:p>
    <w:p w14:paraId="64C0AF1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7.3 可进行理论知识考核，系统能够自动生成报告。</w:t>
      </w:r>
    </w:p>
    <w:p w14:paraId="18F9C7B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8.主要配置清单：高级鼻饲管与气管护理模型，1 台；成人吸痰管，1根；成人鼻饲管，1根；成人胃管，1根；成人气管插管含导丝，1套。</w:t>
      </w:r>
    </w:p>
    <w:p w14:paraId="3D0053E9">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（九）中心静脉穿刺模型（2个）</w:t>
      </w:r>
    </w:p>
    <w:p w14:paraId="4575DEB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成年人躯干仰卧位，头偏向左侧，包括胸锁乳突肌、锁骨、胸骨上窝、剑突、脐、腹股沟等体表标志；具有颈内动脉、颈总动脉、锁骨下静脉及股静脉、股动脉等血管，可进行颈内静脉、锁骨下静脉、股静脉穿刺训练，进针有落空感，穿刺成功可抽出模拟血液。</w:t>
      </w:r>
    </w:p>
    <w:p w14:paraId="30F27B6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2.可进行长导管的插管练习。</w:t>
      </w:r>
    </w:p>
    <w:p w14:paraId="39D16C0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3.模拟颈动脉、股动脉的博动，便于静脉穿刺定位。</w:t>
      </w:r>
    </w:p>
    <w:p w14:paraId="238B3BE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4.颈部解剖结构模块,可观察颈部血管、肌肉分布。</w:t>
      </w:r>
    </w:p>
    <w:p w14:paraId="1973E96C">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5.股部解剖结构模块，可观察腹股沟部血管神经分布。</w:t>
      </w:r>
    </w:p>
    <w:p w14:paraId="6753951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6.主要配置清单：静脉介入训练模型，1台。</w:t>
      </w:r>
    </w:p>
    <w:p w14:paraId="4AA794E3">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（十）体表肿物仿真皮（50块）</w:t>
      </w:r>
    </w:p>
    <w:p w14:paraId="43AF25A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1.外观逼真，内置二个大小相仿的脂肪瘤。</w:t>
      </w:r>
    </w:p>
    <w:p w14:paraId="6BEC513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2.可练习切除脂肪瘤。</w:t>
      </w:r>
    </w:p>
    <w:p w14:paraId="74BB5CC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3.可模拟进行伤口处理。</w:t>
      </w:r>
    </w:p>
    <w:p w14:paraId="0CED1295">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4.主要配置清单：脂肪瘤切除术练习模块，1台。</w:t>
      </w:r>
    </w:p>
    <w:p w14:paraId="17FADF67">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（十一）PICC模型（1个）</w:t>
      </w:r>
    </w:p>
    <w:p w14:paraId="0BD6AD5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1.成人上半身包括锁骨、胸骨切迹、肋骨以及胸锁乳突肌标志等。</w:t>
      </w:r>
    </w:p>
    <w:p w14:paraId="24EC63C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2.透明的循环系统，具有头静脉、贵要静脉、颈内静脉、锁骨下静脉、上腔静脉以及心脏大血管等，可观察心脏导管插管训练的全过程。</w:t>
      </w:r>
    </w:p>
    <w:p w14:paraId="5A8A22F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3.可进行中心静脉穿刺、外周静脉穿刺插管示教和练习。</w:t>
      </w:r>
    </w:p>
    <w:p w14:paraId="4E7E9A7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4.实践心脏导管插入过程以及训练导管插入的位置和长度测量。</w:t>
      </w:r>
    </w:p>
    <w:p w14:paraId="5B5FB7F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5.穿刺成功有落空感，血管及穿刺处皮肤可更换。</w:t>
      </w:r>
    </w:p>
    <w:p w14:paraId="71274BF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6.主要配置清单：PICC介入模型，1台。</w:t>
      </w:r>
    </w:p>
    <w:p w14:paraId="7B4E2204">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（十二）胸腔镜手术模拟训练系统（2台）</w:t>
      </w:r>
    </w:p>
    <w:p w14:paraId="587D879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1.主要由摄像一体机、显示器、电脑主机、手术器械、模型、开关电源、灯光及电器元件等组成。</w:t>
      </w:r>
    </w:p>
    <w:p w14:paraId="1CAAC6C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2.高仿真胸腔模型配有器械插孔，手术器械通过小孔插入胸腔体内进行操作、设有模块放置开口，便于放置不同的训练模块训练演示及力反馈感应训练。</w:t>
      </w:r>
    </w:p>
    <w:p w14:paraId="426DA67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3.胸腔镜手术模拟训练系统可进行分离、结扎、缝合、止血外科的四大基本技术，适用个人培训或团队配合训练。</w:t>
      </w:r>
    </w:p>
    <w:p w14:paraId="4DFBA3B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4.多个手术端口，可进行不同部位的手术操作。</w:t>
      </w:r>
    </w:p>
    <w:p w14:paraId="66F5EAB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5.360°全方位旋转的高清摄像头，摄像头手柄可伸缩（0-6cm）。</w:t>
      </w:r>
    </w:p>
    <w:p w14:paraId="4CFE7F9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6.配置有电脑可对操作画面实时录制保存，并可事后查看操作画面纠错。</w:t>
      </w:r>
    </w:p>
    <w:p w14:paraId="7934F38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7.内置LED冷光灯，可提高模拟手术的清晰度。</w:t>
      </w:r>
    </w:p>
    <w:p w14:paraId="4A5ACB9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8.高仿真胸腔模型（含肋骨），简洁美观，便于更换训练模块。</w:t>
      </w:r>
    </w:p>
    <w:p w14:paraId="57ECA00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9.模块背部有吸附磁铁体，防止滑动。</w:t>
      </w:r>
    </w:p>
    <w:p w14:paraId="54064C3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10.胸腔内可放置动物内脏进行模拟临床手术训练。</w:t>
      </w:r>
    </w:p>
    <w:p w14:paraId="4D9D539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11.显示器可左右摇摆、伸缩、旋转等，在不同角度操作时更加方便。</w:t>
      </w:r>
    </w:p>
    <w:p w14:paraId="4CA631B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12.配置液晶显示器：≥23英寸；分辨率≥1920*1080；亮度≥250cd/m2</w:t>
      </w:r>
    </w:p>
    <w:p w14:paraId="7A871D45">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13.配置胸腔镜弯剪刀、胸腔镜持针钳、胸腔镜抓钳等器械。</w:t>
      </w:r>
    </w:p>
    <w:p w14:paraId="52DC28A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14.配置有操作台车：高度可进行上下调节（85-110cm），有≥4个器械放置孔，有储物抽屉，底部配有四个静音轮（其中两个带有刹车功能）。</w:t>
      </w:r>
    </w:p>
    <w:p w14:paraId="77CD0C9E">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15.配置高低定位模块、心脏模块、穿针引线模块、肺模块、剥离切除模块、血管分离结扎模块等。</w:t>
      </w:r>
    </w:p>
    <w:p w14:paraId="33779B9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16.系统软件包括男女整套全身数字虚拟模型，包括骨骼系统，关节学系，肌学系统，呼吸系统，消化系统，泌尿生殖系统，动脉系统，静脉系统，感觉器，淋巴系统，神经系统，内分泌系统、皮肤系统等；需提供图例证明文件。</w:t>
      </w:r>
    </w:p>
    <w:p w14:paraId="013885E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17.一键自动分离：可以以离散方式一键炸裂显示任意3D解剖结构，720度旋转，任意隐藏，极速还原；需提供图例证明文件。</w:t>
      </w:r>
    </w:p>
    <w:p w14:paraId="7B32F63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18.局部解剖模块:按照头部、颈部、胸部、腹部、盆部、脊柱、上肢、下肢分类，包含男女全套数字虚拟模型,高亮显示：触摸点击解剖结构立即以高亮显示当前结构；需提供图例证明文件。</w:t>
      </w:r>
    </w:p>
    <w:p w14:paraId="6C8D988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19.主要配置清单：胸腔镜手术模拟训练设备，1套。</w:t>
      </w:r>
    </w:p>
    <w:p w14:paraId="2E8EA5F7">
      <w:pPr>
        <w:spacing w:line="360" w:lineRule="auto"/>
        <w:rPr>
          <w:rFonts w:hint="eastAsia" w:ascii="宋体" w:hAnsi="宋体" w:cs="宋体"/>
          <w:b w:val="0"/>
          <w:bCs w:val="0"/>
          <w:sz w:val="24"/>
          <w:szCs w:val="24"/>
          <w:lang w:val="en-US" w:eastAsia="zh-CN"/>
        </w:rPr>
      </w:pPr>
    </w:p>
    <w:p w14:paraId="608D0FAA">
      <w:pPr>
        <w:spacing w:line="360" w:lineRule="auto"/>
        <w:rPr>
          <w:rFonts w:hint="eastAsia" w:ascii="宋体" w:hAnsi="宋体"/>
          <w:b/>
          <w:bCs/>
          <w:sz w:val="24"/>
        </w:rPr>
      </w:pPr>
    </w:p>
    <w:p w14:paraId="144011B0">
      <w:pPr>
        <w:spacing w:line="360" w:lineRule="auto"/>
        <w:rPr>
          <w:rFonts w:ascii="宋体" w:hAnsi="宋体"/>
          <w:b/>
          <w:bCs/>
          <w:sz w:val="24"/>
        </w:rPr>
      </w:pPr>
      <w:r>
        <w:rPr>
          <w:rFonts w:hint="eastAsia" w:ascii="宋体" w:hAnsi="宋体"/>
          <w:b/>
          <w:bCs/>
          <w:sz w:val="24"/>
        </w:rPr>
        <w:t>二、商务要求</w:t>
      </w:r>
    </w:p>
    <w:p w14:paraId="48A0FCC7">
      <w:pPr>
        <w:spacing w:line="360" w:lineRule="auto"/>
        <w:rPr>
          <w:rFonts w:hint="default" w:ascii="宋体" w:hAnsi="宋体" w:eastAsia="宋体" w:cs="宋体"/>
          <w:sz w:val="24"/>
          <w:lang w:val="en-US" w:eastAsia="zh-CN"/>
        </w:rPr>
      </w:pPr>
      <w:r>
        <w:rPr>
          <w:rFonts w:hint="eastAsia" w:ascii="宋体" w:hAnsi="宋体" w:cs="宋体"/>
          <w:sz w:val="24"/>
        </w:rPr>
        <w:t>1.特定资格</w:t>
      </w:r>
      <w:r>
        <w:rPr>
          <w:rFonts w:hint="eastAsia" w:ascii="宋体" w:hAnsi="宋体" w:cs="宋体"/>
          <w:sz w:val="24"/>
          <w:lang w:eastAsia="zh-CN"/>
        </w:rPr>
        <w:t>：</w:t>
      </w:r>
      <w:r>
        <w:rPr>
          <w:rFonts w:hint="eastAsia" w:ascii="宋体" w:hAnsi="宋体" w:cs="宋体"/>
          <w:sz w:val="24"/>
          <w:lang w:val="en-US" w:eastAsia="zh-CN"/>
        </w:rPr>
        <w:t>无</w:t>
      </w:r>
    </w:p>
    <w:p w14:paraId="3920DAC8">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0CBCE0CB">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57A36193">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6C8F7158">
      <w:pPr>
        <w:spacing w:line="360" w:lineRule="auto"/>
        <w:rPr>
          <w:rFonts w:ascii="宋体" w:hAnsi="宋体" w:cs="宋体"/>
          <w:sz w:val="24"/>
        </w:rPr>
      </w:pPr>
      <w:r>
        <w:rPr>
          <w:rFonts w:hint="eastAsia" w:ascii="宋体" w:hAnsi="宋体" w:cs="宋体"/>
          <w:sz w:val="24"/>
        </w:rPr>
        <w:t>5.履约保证金：无</w:t>
      </w:r>
    </w:p>
    <w:p w14:paraId="67A23125">
      <w:pPr>
        <w:spacing w:line="360" w:lineRule="auto"/>
        <w:rPr>
          <w:rFonts w:ascii="宋体" w:hAnsi="宋体" w:cs="宋体"/>
          <w:sz w:val="24"/>
        </w:rPr>
      </w:pPr>
      <w:r>
        <w:rPr>
          <w:rFonts w:hint="eastAsia" w:ascii="宋体" w:hAnsi="宋体" w:cs="宋体"/>
          <w:sz w:val="24"/>
        </w:rPr>
        <w:t>6.付款方式：</w:t>
      </w:r>
    </w:p>
    <w:p w14:paraId="10B2FE7C">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70C415A7">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议价</w:t>
      </w:r>
      <w:r>
        <w:rPr>
          <w:rFonts w:hint="eastAsia" w:ascii="宋体" w:hAnsi="宋体" w:cs="宋体"/>
          <w:sz w:val="24"/>
        </w:rPr>
        <w:t>文件，所承诺的优惠条件、售后服务计划、培训计划等执行到位后，按规定程序办理支付手续，一次性付清。</w:t>
      </w:r>
    </w:p>
    <w:p w14:paraId="3D30B16C">
      <w:pPr>
        <w:spacing w:line="360" w:lineRule="auto"/>
        <w:ind w:firstLine="240" w:firstLineChars="100"/>
        <w:rPr>
          <w:rFonts w:hint="eastAsia" w:ascii="宋体" w:hAnsi="宋体" w:eastAsia="宋体"/>
          <w:b w:val="0"/>
          <w:bCs w:val="0"/>
          <w:sz w:val="24"/>
          <w:szCs w:val="24"/>
          <w:lang w:val="en-US" w:eastAsia="zh-CN"/>
        </w:rPr>
      </w:pPr>
    </w:p>
    <w:p w14:paraId="1C51D5E7">
      <w:pPr>
        <w:rPr>
          <w:rFonts w:hint="eastAsia"/>
          <w:b/>
          <w:sz w:val="32"/>
          <w:szCs w:val="32"/>
        </w:rPr>
      </w:pPr>
    </w:p>
    <w:p w14:paraId="58B86C1F">
      <w:pPr>
        <w:rPr>
          <w:rFonts w:hint="eastAsia"/>
          <w:b/>
          <w:sz w:val="32"/>
          <w:szCs w:val="32"/>
        </w:rPr>
      </w:pPr>
      <w:r>
        <w:rPr>
          <w:rFonts w:hint="eastAsia"/>
          <w:b/>
          <w:sz w:val="32"/>
          <w:szCs w:val="32"/>
        </w:rPr>
        <w:br w:type="page"/>
      </w: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4" w:name="_Toc24908"/>
      <w:r>
        <w:rPr>
          <w:rFonts w:hint="eastAsia"/>
          <w:color w:val="auto"/>
          <w:sz w:val="28"/>
          <w:highlight w:val="none"/>
        </w:rPr>
        <w:t>第一部分资格证明文件</w:t>
      </w:r>
      <w:bookmarkEnd w:id="4"/>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5" w:name="_Toc902"/>
      <w:bookmarkStart w:id="6" w:name="_Toc2479"/>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5"/>
      <w:bookmarkEnd w:id="6"/>
    </w:p>
    <w:p w14:paraId="5640B169">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highlight w:val="none"/>
          <w:u w:val="single"/>
        </w:rPr>
        <w:t>）</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7B48DA94">
      <w:pPr>
        <w:spacing w:line="500" w:lineRule="exact"/>
        <w:rPr>
          <w:rFonts w:ascii="宋体" w:hAnsi="宋体"/>
          <w:sz w:val="24"/>
          <w:highlight w:val="none"/>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7"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7"/>
          </w:p>
        </w:tc>
      </w:tr>
    </w:tbl>
    <w:p w14:paraId="09749C91">
      <w:pPr>
        <w:spacing w:line="500" w:lineRule="exact"/>
        <w:rPr>
          <w:rFonts w:ascii="宋体" w:hAnsi="宋体"/>
          <w:sz w:val="24"/>
          <w:highlight w:val="none"/>
        </w:rPr>
      </w:pPr>
    </w:p>
    <w:p w14:paraId="7AFCE322">
      <w:pPr>
        <w:spacing w:line="500" w:lineRule="exact"/>
        <w:rPr>
          <w:rFonts w:ascii="宋体" w:hAnsi="宋体"/>
          <w:sz w:val="24"/>
          <w:highlight w:val="none"/>
        </w:rPr>
      </w:pPr>
    </w:p>
    <w:p w14:paraId="02946EF4">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09F07EA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285C426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8" w:name="_资格证明文件"/>
      <w:bookmarkEnd w:id="8"/>
      <w:bookmarkStart w:id="9" w:name="_Toc31029"/>
      <w:bookmarkStart w:id="10" w:name="_Toc10534"/>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9"/>
      <w:bookmarkEnd w:id="10"/>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11" w:name="_Toc26111"/>
      <w:bookmarkStart w:id="12" w:name="_Toc11890"/>
      <w:bookmarkStart w:id="13" w:name="_Toc4559"/>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1"/>
      <w:bookmarkEnd w:id="12"/>
      <w:bookmarkEnd w:id="13"/>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 xml:space="preserve">提供下列资料之一作为财务状况证明资料： </w:t>
      </w:r>
    </w:p>
    <w:p w14:paraId="6A989404">
      <w:pPr>
        <w:pStyle w:val="68"/>
        <w:numPr>
          <w:ilvl w:val="0"/>
          <w:numId w:val="3"/>
        </w:numPr>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lang w:val="en-US" w:eastAsia="zh-CN"/>
        </w:rPr>
        <w:t>2023年度</w:t>
      </w:r>
      <w:r>
        <w:rPr>
          <w:rFonts w:hint="eastAsia" w:ascii="宋体" w:hAnsi="宋体"/>
          <w:color w:val="auto"/>
          <w:sz w:val="24"/>
          <w:highlight w:val="none"/>
        </w:rPr>
        <w:t xml:space="preserve">经会计师事务所或者审计机构审计的财务报告； </w:t>
      </w:r>
    </w:p>
    <w:p w14:paraId="208057C7">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rPr>
        <w:t>基本开户银行出具</w:t>
      </w:r>
      <w:r>
        <w:rPr>
          <w:rFonts w:hint="eastAsia" w:ascii="宋体" w:hAnsi="宋体"/>
          <w:color w:val="auto"/>
          <w:sz w:val="24"/>
        </w:rPr>
        <w:t>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14" w:name="_Toc24403"/>
      <w:bookmarkStart w:id="15" w:name="_Toc19319"/>
      <w:bookmarkStart w:id="16" w:name="_Toc569"/>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4"/>
      <w:bookmarkEnd w:id="15"/>
      <w:bookmarkEnd w:id="16"/>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rPr>
          <w:highlight w:val="none"/>
        </w:rPr>
      </w:pPr>
    </w:p>
    <w:p w14:paraId="6DFF1AFF">
      <w:pPr>
        <w:spacing w:line="360" w:lineRule="auto"/>
        <w:rPr>
          <w:rFonts w:hint="eastAsia" w:asciiTheme="minorEastAsia" w:hAnsiTheme="minorEastAsia"/>
          <w:color w:val="auto"/>
          <w:sz w:val="24"/>
          <w:highlight w:val="none"/>
          <w:lang w:eastAsia="zh-CN"/>
        </w:rPr>
      </w:pPr>
    </w:p>
    <w:p w14:paraId="692FFB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EE4BD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DA75B5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17" w:name="_Toc1972"/>
      <w:bookmarkStart w:id="18" w:name="_Toc10542"/>
    </w:p>
    <w:p w14:paraId="217331AE">
      <w:pPr>
        <w:pStyle w:val="8"/>
        <w:spacing w:before="0" w:after="0"/>
        <w:jc w:val="center"/>
        <w:rPr>
          <w:color w:val="auto"/>
          <w:sz w:val="28"/>
          <w:szCs w:val="28"/>
          <w:highlight w:val="none"/>
        </w:rPr>
      </w:pPr>
      <w:bookmarkStart w:id="19" w:name="_Toc32290"/>
      <w:r>
        <w:rPr>
          <w:rFonts w:hint="eastAsia"/>
          <w:color w:val="auto"/>
          <w:sz w:val="28"/>
          <w:szCs w:val="28"/>
          <w:highlight w:val="none"/>
        </w:rPr>
        <w:t>五、有依法缴纳税收和社会保障资金的良好记录</w:t>
      </w:r>
      <w:bookmarkEnd w:id="17"/>
      <w:bookmarkEnd w:id="18"/>
      <w:bookmarkEnd w:id="19"/>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20" w:name="_Toc8953"/>
      <w:bookmarkStart w:id="21" w:name="_Toc31728"/>
      <w:bookmarkStart w:id="22" w:name="_Toc32668"/>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0"/>
      <w:bookmarkEnd w:id="21"/>
      <w:bookmarkEnd w:id="22"/>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3" w:name="_Toc11219"/>
      <w:bookmarkStart w:id="24" w:name="_Toc28112"/>
      <w:bookmarkStart w:id="25"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3"/>
      <w:bookmarkEnd w:id="24"/>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25"/>
    <w:p w14:paraId="0705F273">
      <w:pPr>
        <w:bidi w:val="0"/>
        <w:rPr>
          <w:rFonts w:hint="eastAsia"/>
          <w:lang w:eastAsia="zh-CN"/>
        </w:rPr>
      </w:pPr>
      <w:bookmarkStart w:id="26"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27" w:name="_Toc3305"/>
      <w:r>
        <w:rPr>
          <w:rFonts w:hint="eastAsia"/>
          <w:color w:val="auto"/>
          <w:sz w:val="28"/>
          <w:szCs w:val="36"/>
          <w:highlight w:val="none"/>
          <w:lang w:eastAsia="zh-CN"/>
        </w:rPr>
        <w:t>八、无关联关系声明</w:t>
      </w:r>
      <w:bookmarkEnd w:id="26"/>
      <w:bookmarkEnd w:id="27"/>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28" w:name="_Toc29119"/>
      <w:r>
        <w:rPr>
          <w:rFonts w:hint="eastAsia"/>
          <w:color w:val="auto"/>
          <w:sz w:val="28"/>
          <w:highlight w:val="none"/>
        </w:rPr>
        <w:t>第二部分商务、技术文件</w:t>
      </w:r>
      <w:bookmarkEnd w:id="28"/>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magenta"/>
          <w:lang w:eastAsia="zh-CN"/>
        </w:rPr>
      </w:pPr>
      <w:bookmarkStart w:id="29"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29"/>
      <w:r>
        <w:rPr>
          <w:rFonts w:hint="eastAsia"/>
          <w:color w:val="auto"/>
          <w:sz w:val="28"/>
          <w:highlight w:val="magenta"/>
          <w:lang w:eastAsia="zh-CN"/>
        </w:rPr>
        <w:t>一览表</w:t>
      </w:r>
    </w:p>
    <w:p w14:paraId="01E3F518">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8D6F078">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rPr>
            </w:pPr>
          </w:p>
          <w:p w14:paraId="1D5D3FE6">
            <w:pPr>
              <w:tabs>
                <w:tab w:val="left" w:pos="926"/>
                <w:tab w:val="left" w:pos="4335"/>
                <w:tab w:val="left" w:pos="4515"/>
                <w:tab w:val="left" w:pos="7227"/>
              </w:tabs>
              <w:jc w:val="center"/>
              <w:rPr>
                <w:rFonts w:hint="eastAsia"/>
                <w:sz w:val="24"/>
                <w:szCs w:val="24"/>
              </w:rPr>
            </w:pPr>
            <w:r>
              <w:rPr>
                <w:rFonts w:hint="eastAsia"/>
                <w:sz w:val="24"/>
                <w:szCs w:val="24"/>
              </w:rPr>
              <w:t>总报价</w:t>
            </w:r>
          </w:p>
          <w:p w14:paraId="5BD5151E">
            <w:pPr>
              <w:tabs>
                <w:tab w:val="left" w:pos="926"/>
                <w:tab w:val="left" w:pos="4335"/>
                <w:tab w:val="left" w:pos="4515"/>
                <w:tab w:val="left" w:pos="7227"/>
              </w:tabs>
              <w:ind w:left="-78"/>
              <w:jc w:val="center"/>
              <w:rPr>
                <w:rFonts w:hint="eastAsia"/>
                <w:sz w:val="24"/>
                <w:szCs w:val="24"/>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6CB668A">
            <w:pPr>
              <w:tabs>
                <w:tab w:val="left" w:pos="926"/>
                <w:tab w:val="left" w:pos="4335"/>
                <w:tab w:val="left" w:pos="4515"/>
                <w:tab w:val="left" w:pos="7227"/>
              </w:tabs>
              <w:ind w:firstLine="210" w:firstLineChars="100"/>
              <w:jc w:val="left"/>
              <w:rPr>
                <w:rFonts w:hint="eastAsia"/>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24C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17437C07">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709036CE">
            <w:pPr>
              <w:tabs>
                <w:tab w:val="left" w:pos="926"/>
                <w:tab w:val="left" w:pos="4335"/>
                <w:tab w:val="left" w:pos="4515"/>
                <w:tab w:val="left" w:pos="7227"/>
              </w:tabs>
              <w:spacing w:line="360" w:lineRule="auto"/>
              <w:rPr>
                <w:rFonts w:hint="eastAsia"/>
                <w:sz w:val="24"/>
                <w:szCs w:val="24"/>
              </w:rPr>
            </w:pP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rPr>
            </w:pP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5E2E0B9A">
      <w:pPr>
        <w:pStyle w:val="7"/>
        <w:numPr>
          <w:ilvl w:val="1"/>
          <w:numId w:val="0"/>
        </w:numPr>
        <w:ind w:left="960" w:leftChars="0"/>
        <w:jc w:val="both"/>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30" w:name="_Toc304219290"/>
      <w:bookmarkStart w:id="31" w:name="_Toc320878673"/>
      <w:bookmarkStart w:id="32" w:name="_Toc349642274"/>
      <w:bookmarkStart w:id="33" w:name="_Toc337475887"/>
      <w:bookmarkStart w:id="34"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0"/>
      <w:bookmarkEnd w:id="31"/>
      <w:bookmarkEnd w:id="32"/>
      <w:bookmarkEnd w:id="33"/>
      <w:bookmarkEnd w:id="34"/>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
        <w:rPr>
          <w:rFonts w:hint="eastAsia"/>
        </w:rPr>
      </w:pPr>
    </w:p>
    <w:p w14:paraId="04D2AEB7">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35" w:name="_Toc30834"/>
      <w:bookmarkStart w:id="36"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5"/>
      <w:bookmarkEnd w:id="36"/>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37"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7"/>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38" w:name="_Toc11982"/>
      <w:bookmarkStart w:id="39" w:name="_Toc23117"/>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8"/>
      <w:bookmarkEnd w:id="39"/>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40" w:name="_Toc20496"/>
      <w:bookmarkStart w:id="41" w:name="_Toc2381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0"/>
      <w:bookmarkEnd w:id="41"/>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42" w:name="_Toc4948"/>
      <w:bookmarkStart w:id="43" w:name="_Toc2922"/>
      <w:bookmarkStart w:id="44" w:name="_Toc337475928"/>
      <w:bookmarkStart w:id="45" w:name="_Toc12801"/>
      <w:bookmarkStart w:id="46" w:name="_Toc304219331"/>
      <w:bookmarkStart w:id="47" w:name="_Toc15867"/>
      <w:bookmarkStart w:id="48" w:name="_Toc10750"/>
      <w:bookmarkStart w:id="49" w:name="_Toc349642319"/>
      <w:bookmarkStart w:id="50" w:name="_Toc337554798"/>
      <w:bookmarkStart w:id="51" w:name="_Toc30765"/>
      <w:bookmarkStart w:id="52" w:name="_Toc28583"/>
      <w:bookmarkStart w:id="53" w:name="_Toc4599"/>
      <w:bookmarkStart w:id="54" w:name="_Toc320878714"/>
      <w:bookmarkStart w:id="55" w:name="_Toc29526"/>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2"/>
      <w:bookmarkEnd w:id="43"/>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56" w:name="_Toc7716"/>
      <w:bookmarkStart w:id="57" w:name="_Toc8810"/>
      <w:r>
        <w:rPr>
          <w:rFonts w:hint="eastAsia"/>
          <w:sz w:val="28"/>
          <w:szCs w:val="28"/>
          <w:lang w:val="en-US" w:eastAsia="zh-CN"/>
        </w:rPr>
        <w:t>九、优惠承诺</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8" w:name="_Toc11154"/>
      <w:bookmarkStart w:id="59" w:name="_Toc17593"/>
      <w:r>
        <w:rPr>
          <w:rFonts w:hint="eastAsia" w:asciiTheme="minorHAnsi" w:hAnsiTheme="minorHAnsi" w:eastAsiaTheme="minorEastAsia" w:cstheme="minorBidi"/>
          <w:b/>
          <w:bCs/>
          <w:kern w:val="2"/>
          <w:sz w:val="28"/>
          <w:szCs w:val="28"/>
          <w:lang w:val="en-US" w:eastAsia="zh-CN" w:bidi="ar-SA"/>
        </w:rPr>
        <w:t>十、</w:t>
      </w:r>
      <w:bookmarkEnd w:id="58"/>
      <w:bookmarkEnd w:id="59"/>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045E"/>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B407EF"/>
    <w:rsid w:val="08E26F7C"/>
    <w:rsid w:val="093800B7"/>
    <w:rsid w:val="0967703F"/>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E33DE5"/>
    <w:rsid w:val="10F249ED"/>
    <w:rsid w:val="10FC7C33"/>
    <w:rsid w:val="110D3767"/>
    <w:rsid w:val="11A46BCD"/>
    <w:rsid w:val="11BC20CD"/>
    <w:rsid w:val="12497277"/>
    <w:rsid w:val="128B0606"/>
    <w:rsid w:val="12987059"/>
    <w:rsid w:val="139B5B06"/>
    <w:rsid w:val="13A72394"/>
    <w:rsid w:val="13BC6FFC"/>
    <w:rsid w:val="13D17F63"/>
    <w:rsid w:val="13EA5200"/>
    <w:rsid w:val="144D1C4A"/>
    <w:rsid w:val="148056BB"/>
    <w:rsid w:val="1485577B"/>
    <w:rsid w:val="14E47A52"/>
    <w:rsid w:val="151F18D7"/>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1068</Words>
  <Characters>1204</Characters>
  <Lines>315</Lines>
  <Paragraphs>88</Paragraphs>
  <TotalTime>0</TotalTime>
  <ScaleCrop>false</ScaleCrop>
  <LinksUpToDate>false</LinksUpToDate>
  <CharactersWithSpaces>1263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2025-01-25T02:53:37Z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