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val="en-US" w:eastAsia="zh-CN"/>
        </w:rPr>
        <w:t>内</w:t>
      </w:r>
      <w:r>
        <w:rPr>
          <w:rFonts w:hint="eastAsia" w:ascii="宋体" w:hAnsi="宋体" w:cs="宋体"/>
          <w:b/>
          <w:sz w:val="40"/>
          <w:szCs w:val="40"/>
          <w:highlight w:val="none"/>
          <w:lang w:eastAsia="zh-CN"/>
        </w:rPr>
        <w:t>科教学模型采购项目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014</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3C19FBA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w:t>
      </w:r>
      <w:r>
        <w:rPr>
          <w:rFonts w:hint="eastAsia" w:ascii="宋体" w:hAnsi="宋体"/>
          <w:b/>
          <w:sz w:val="28"/>
          <w:szCs w:val="28"/>
          <w:highlight w:val="none"/>
        </w:rPr>
        <w:t>胸科医院</w:t>
      </w:r>
      <w:r>
        <w:rPr>
          <w:rFonts w:hint="eastAsia" w:ascii="宋体" w:hAnsi="宋体"/>
          <w:b/>
          <w:sz w:val="28"/>
          <w:szCs w:val="28"/>
          <w:highlight w:val="none"/>
          <w:lang w:val="en-US" w:eastAsia="zh-CN"/>
        </w:rPr>
        <w:t>内</w:t>
      </w:r>
      <w:r>
        <w:rPr>
          <w:rFonts w:hint="eastAsia" w:ascii="宋体" w:hAnsi="宋体"/>
          <w:b/>
          <w:sz w:val="28"/>
          <w:szCs w:val="28"/>
          <w:highlight w:val="none"/>
          <w:lang w:eastAsia="zh-CN"/>
        </w:rPr>
        <w:t>科教学模型采</w:t>
      </w:r>
      <w:r>
        <w:rPr>
          <w:rFonts w:hint="eastAsia" w:ascii="宋体" w:hAnsi="宋体"/>
          <w:b/>
          <w:sz w:val="28"/>
          <w:szCs w:val="28"/>
          <w:highlight w:val="none"/>
          <w:lang w:eastAsia="zh-CN"/>
        </w:rPr>
        <w:t>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2EA6A7E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7D70D5C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河南省胸科医院内科教学模型采购项目</w:t>
      </w:r>
      <w:r>
        <w:rPr>
          <w:rFonts w:hint="default" w:asciiTheme="minorEastAsia" w:hAnsiTheme="minorEastAsia" w:eastAsiaTheme="minorEastAsia" w:cstheme="minorEastAsia"/>
          <w:color w:val="333333"/>
          <w:sz w:val="24"/>
          <w:szCs w:val="24"/>
        </w:rPr>
        <w:t>。</w:t>
      </w:r>
    </w:p>
    <w:p w14:paraId="6D251A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C5825A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内</w:t>
      </w:r>
      <w:r>
        <w:rPr>
          <w:rFonts w:hint="eastAsia" w:asciiTheme="minorEastAsia" w:hAnsiTheme="minorEastAsia" w:eastAsiaTheme="minorEastAsia" w:cstheme="minorEastAsia"/>
          <w:color w:val="333333"/>
          <w:sz w:val="24"/>
          <w:szCs w:val="24"/>
          <w:lang w:eastAsia="zh-CN"/>
        </w:rPr>
        <w:t>科教学模型</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val="en-US" w:eastAsia="zh-CN"/>
        </w:rPr>
        <w:t>批</w:t>
      </w:r>
      <w:r>
        <w:rPr>
          <w:rFonts w:hint="default" w:asciiTheme="minorEastAsia" w:hAnsiTheme="minorEastAsia" w:eastAsiaTheme="minorEastAsia" w:cstheme="minorEastAsia"/>
          <w:color w:val="333333"/>
          <w:sz w:val="24"/>
          <w:szCs w:val="24"/>
        </w:rPr>
        <w:t>。</w:t>
      </w:r>
    </w:p>
    <w:p w14:paraId="74BE0D0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4103F2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36</w:t>
      </w:r>
      <w:r>
        <w:rPr>
          <w:rFonts w:hint="default" w:asciiTheme="minorEastAsia" w:hAnsiTheme="minorEastAsia" w:eastAsiaTheme="minorEastAsia" w:cstheme="minorEastAsia"/>
          <w:color w:val="333333"/>
          <w:sz w:val="24"/>
          <w:szCs w:val="24"/>
        </w:rPr>
        <w:t>万元。</w:t>
      </w:r>
    </w:p>
    <w:p w14:paraId="0732634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7458B1B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2BC0847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3448357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78BBCF7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483C1A9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7559EE1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42DA2B7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1444982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3C9767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7BB479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481660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91B2D5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66761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015D13E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7F34753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0EFFF43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4126F5E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41E0B47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3757AB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77DCF0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4E021F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0C75578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13E0444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E0020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1409D9F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63FDEC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C382171"/>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议价地点另行通知</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20F22AB3">
      <w:pPr>
        <w:numPr>
          <w:ilvl w:val="0"/>
          <w:numId w:val="0"/>
        </w:numPr>
        <w:spacing w:line="360" w:lineRule="auto"/>
        <w:rPr>
          <w:rFonts w:hint="eastAsia" w:ascii="宋体" w:hAnsi="宋体" w:cs="宋体"/>
          <w:b/>
          <w:bCs/>
          <w:color w:val="auto"/>
          <w:sz w:val="24"/>
          <w:szCs w:val="24"/>
          <w:lang w:eastAsia="zh-CN"/>
        </w:rPr>
      </w:pPr>
    </w:p>
    <w:p w14:paraId="4013C61B">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54C7E79D">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（一）数字遥控式电脑腹部触诊模拟人（1个）</w:t>
      </w:r>
    </w:p>
    <w:p w14:paraId="541BDE4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1.标准的成人女性半身模型、主机和红外线遥控器组成。</w:t>
      </w:r>
    </w:p>
    <w:p w14:paraId="18A7373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2.可进行肝、脾、胆囊触诊，肝、脾、胆囊综合体征触诊，27种体征，常见疾病压痛，反跳痛等教学训练，并且可进行远距离遥控教学。</w:t>
      </w:r>
    </w:p>
    <w:p w14:paraId="035C129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3.肝脏触诊：可进行正常、不同程度肿大以及不同质地肝脏的触诊。</w:t>
      </w:r>
    </w:p>
    <w:p w14:paraId="2C48DF7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4.脾脏触诊：随着脾触诊内容的选择，可触及不同程度的脾肿大，轻度肿大的脾可于右侧卧位触及，较大的脾可触到脾切迹。</w:t>
      </w:r>
    </w:p>
    <w:p w14:paraId="3817241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5.胆囊触诊：可进行正常及囊性肿大胆囊的触诊；胆囊触痛检查阳性时，仿真病人会发出“疼”的叫声；墨菲氏征检查阳性时，仿真病人会发出“疼”的叫声并突然屏住呼吸。</w:t>
      </w:r>
    </w:p>
    <w:p w14:paraId="4BA2EC6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肝、胆囊、脾综合体征触诊：根据腹部脏器之间的解剖和病理生理特点，设计出常见的肝、胆囊、脾联合体征，供学生进行触诊实践，加深对脏器之间联系的认识；共几十种，分为肝大、脾大、胆囊大；肝、脾、胆囊均大，且有大小、质地的变化。</w:t>
      </w:r>
    </w:p>
    <w:p w14:paraId="47DE11D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7.常见疾病压痛与反跳痛：可实现胃溃疡、十二指肠溃疡、胰腺炎、阑尾炎等十几种疾病压痛及反跳痛的触诊；触诊正确，仿真病人将发出“疼”的叫声。</w:t>
      </w:r>
    </w:p>
    <w:p w14:paraId="33258EF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8.乳房触诊：多种乳房疾病触诊体征，区别比较乳腺常见良性肿瘤、恶性肿瘤、淋巴结、小叶增生等肿块的大小、位置等。</w:t>
      </w:r>
    </w:p>
    <w:p w14:paraId="3D9EBED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9.提供同型号检测报告。</w:t>
      </w:r>
    </w:p>
    <w:p w14:paraId="56AEEBE7">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10.主要配置清单：成人女性腹部触诊模型，1台；控制器，1台；电源线，2根；并口线，1根。</w:t>
      </w:r>
    </w:p>
    <w:p w14:paraId="5B76C765">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（二）胸腔穿刺模型人（3个）</w:t>
      </w:r>
    </w:p>
    <w:p w14:paraId="3D3A3AF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1.模型为男性躯干结构，反向坐于靠背椅上，双手臂置于椅背上缘，头伏于前臂；可在坐位或侧卧位上进行操作训练。</w:t>
      </w:r>
    </w:p>
    <w:p w14:paraId="77FD0FE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2.模型具有胸、腹部和背部的局部解剖结构特征，标志清晰，可以触及腋窝、第7颈椎、胸椎、肩胛骨、肋骨、肋间隙等。</w:t>
      </w:r>
    </w:p>
    <w:p w14:paraId="2FB0D4C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3.胸腔穿刺：</w:t>
      </w:r>
    </w:p>
    <w:p w14:paraId="79CFC14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3.1穿刺位置：肩胛下线第7～9肋间和腋中线第5～6肋间。</w:t>
      </w:r>
    </w:p>
    <w:p w14:paraId="63C1E3D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3.2针头穿过壁层胸膜时，抵触感消失，连接注射器，可抽出胸腔积液。</w:t>
      </w:r>
    </w:p>
    <w:p w14:paraId="7591B87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3.3穿刺操作前有正确操作的语音讲解，操作过程中有电子语音提示正确/错误。</w:t>
      </w:r>
    </w:p>
    <w:p w14:paraId="06463C4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3.4进针正确有提示音，操作正确后有相应的内容物流出；进针部位错误有提示音。</w:t>
      </w:r>
    </w:p>
    <w:p w14:paraId="4C27B0F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3.5在肩胛线或腋后线第9肋间穿刺，会有语音提示“部位错误，此处易穿透膈肌损伤腹腔脏器”。</w:t>
      </w:r>
    </w:p>
    <w:p w14:paraId="3B6C12C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4.遥控器上有胸穿键、模式键、声音键等按键，有训练和考试两种模式，可自行播放或停止语音，便于考试模式下操作。</w:t>
      </w:r>
    </w:p>
    <w:p w14:paraId="614626C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4.1“胸穿”键，考试模式下播放“胸膜腔穿刺术”表示选择该穿刺进行操作，训练模式下播放胸膜腔穿刺术操作方法，并选择该穿刺进行操作。</w:t>
      </w:r>
    </w:p>
    <w:p w14:paraId="4FE3A4D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4.2“模式”键，交替选择考试模式与训练模式；语音提示“训练模式，请选择穿刺术”，“考试模式，请选择穿刺术”。</w:t>
      </w:r>
    </w:p>
    <w:p w14:paraId="2CE28A8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4.3“声音”键，停止正在播放语音。</w:t>
      </w:r>
    </w:p>
    <w:p w14:paraId="79ECDD1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5.主要配置清单：胸腔穿刺模型人，1台；豪华便携式铝塑箱，1个。    </w:t>
      </w:r>
    </w:p>
    <w:p w14:paraId="026E7364">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（三）腹腔穿刺模型人（3个）</w:t>
      </w:r>
    </w:p>
    <w:p w14:paraId="2186FC6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1.仿真病人外观形象逼真，质地柔软，触感真实。</w:t>
      </w:r>
    </w:p>
    <w:p w14:paraId="2384822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2.体表标志明显：包括锁骨、锁骨肩峰端、锁骨胸骨端、胸锁乳突肌锁骨头、胸锁乳突肌胸骨头、肋骨、肋间隙、胸骨上窝、锁骨中线、腋前线、腋中线、髂前上棘、髂嵴、脐、腹股沟韧带等，便于穿刺定位。</w:t>
      </w:r>
    </w:p>
    <w:p w14:paraId="417C499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3.方便固定和改变体位，如平卧、侧卧位等。</w:t>
      </w:r>
    </w:p>
    <w:p w14:paraId="74D561B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4.可进行腹部移动性浊音叩诊、腹部穿刺操作，在脐与髂前上棘连线中外1／3进行穿刺，穿刺成功时有明显落空感，并可抽出模拟腹腔积水。</w:t>
      </w:r>
    </w:p>
    <w:p w14:paraId="186B60C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5.腹腔穿刺点处皮肤可单独更换。</w:t>
      </w:r>
    </w:p>
    <w:p w14:paraId="4D83B2EA">
      <w:pPr>
        <w:spacing w:line="360" w:lineRule="auto"/>
        <w:rPr>
          <w:rFonts w:hint="eastAsia" w:ascii="宋体" w:hAnsi="宋体" w:cs="宋体"/>
          <w:b w:val="0"/>
          <w:bCs w:val="0"/>
          <w:sz w:val="24"/>
          <w:szCs w:val="24"/>
          <w:lang w:val="en-US" w:eastAsia="zh-CN"/>
        </w:rPr>
      </w:pPr>
      <w:bookmarkStart w:id="3" w:name="OLE_LINK1"/>
      <w:r>
        <w:rPr>
          <w:rFonts w:hint="eastAsia" w:ascii="宋体" w:hAnsi="宋体" w:cs="宋体"/>
          <w:b w:val="0"/>
          <w:bCs w:val="0"/>
          <w:sz w:val="24"/>
          <w:szCs w:val="24"/>
          <w:lang w:val="en-US" w:eastAsia="zh-CN"/>
        </w:rPr>
        <w:t xml:space="preserve">6.主要配置清单：腹腔穿刺仿真病人模型，1台；模拟血粉，1瓶；润滑粉，1盒。   </w:t>
      </w:r>
    </w:p>
    <w:bookmarkEnd w:id="3"/>
    <w:p w14:paraId="5F3DA03B">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（四）腰椎穿刺模型人（3个）</w:t>
      </w:r>
    </w:p>
    <w:p w14:paraId="69EF262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1.仿真标准化病人取侧卧位，背部与床面垂直，头向前胸弯曲，双膝向腹部屈曲，躯干呈弓状。</w:t>
      </w:r>
    </w:p>
    <w:p w14:paraId="1D2ABC9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2.材质柔韧耐用、骨性标志明显，包括L1-L5腰椎及椎间隙，在体表可触诊到腰椎间隙，便于穿刺操作定位，</w:t>
      </w:r>
    </w:p>
    <w:p w14:paraId="1EC075E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3.腿部关节可自由活动，可摆成放松体位和穿刺体位，穿刺操作时，摆放为穿刺体位，可增加椎间隙宽度，便于进针。</w:t>
      </w:r>
    </w:p>
    <w:p w14:paraId="4002060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4.腰部解剖结构准确，可进行腰椎穿刺、硬膜外阻滞、腰部麻醉、尾神经阻滞、骶神经阻滞、腰交感神经阻滞等操作训练。</w:t>
      </w:r>
    </w:p>
    <w:p w14:paraId="78A9E5A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5.穿刺时进针有阻力，穿透黄韧带有落空感，进入硬膜外腔，穿刺成功有模拟脑脊液流出。</w:t>
      </w:r>
    </w:p>
    <w:p w14:paraId="788164C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6.可模拟硬膜外负压状态，用于麻醉时确定穿刺到达的位置。</w:t>
      </w:r>
    </w:p>
    <w:p w14:paraId="69DDD78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7.腰椎模块用磁铁吸附，方便更换穿刺模块。</w:t>
      </w:r>
    </w:p>
    <w:p w14:paraId="7C68E31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8.主要配置清单：腰椎穿刺术技能训练模拟人（侧卧位），1台； 底板及调节输液架，1套。    </w:t>
      </w:r>
    </w:p>
    <w:p w14:paraId="72C85C5D">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（五）骨髓穿刺模型人（3个）</w:t>
      </w:r>
    </w:p>
    <w:p w14:paraId="30028D0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1.标准化病人取平卧位，质地柔软，触感真实，外观形象逼真。</w:t>
      </w:r>
    </w:p>
    <w:p w14:paraId="1C175A1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2.解剖标志明显，包括锁骨、胸骨上切迹、胸骨柄上缘、肋骨、乳头、髂前上棘等，便于穿刺定位。</w:t>
      </w:r>
    </w:p>
    <w:p w14:paraId="345B0A4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3.可进行髂前上棘穿刺术训练、胸骨柄穿刺术训练，进针正确有落空感，穿刺操作成功可抽出模拟骨髓。</w:t>
      </w:r>
    </w:p>
    <w:p w14:paraId="2CDB122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4.骨髓穿刺点皮肤和模块可更换，可进行百余次穿刺。</w:t>
      </w:r>
    </w:p>
    <w:p w14:paraId="19C69FBB">
      <w:pPr>
        <w:spacing w:line="360" w:lineRule="auto"/>
        <w:rPr>
          <w:rFonts w:hint="default" w:ascii="宋体" w:hAnsi="宋体" w:cs="宋体"/>
          <w:b w:val="0"/>
          <w:bCs w:val="0"/>
          <w:sz w:val="24"/>
          <w:szCs w:val="24"/>
          <w:lang w:val="en-US" w:eastAsia="zh-CN"/>
        </w:rPr>
      </w:pPr>
      <w:r>
        <w:rPr>
          <w:rFonts w:hint="eastAsia" w:ascii="宋体" w:hAnsi="宋体" w:cs="宋体"/>
          <w:b w:val="0"/>
          <w:bCs w:val="0"/>
          <w:color w:val="auto"/>
          <w:sz w:val="24"/>
          <w:szCs w:val="24"/>
          <w:lang w:val="en-US" w:eastAsia="zh-CN"/>
        </w:rPr>
        <w:t>5.主要配置清单：高级骨髓穿刺模型，1台；胸骨骨髓穿刺外皮，2张；胸骨骨髓穿刺模块，2个；髂骨骨髓穿刺外皮，2张。</w:t>
      </w:r>
    </w:p>
    <w:p w14:paraId="5E548296">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（六）听诊模型人（6个）</w:t>
      </w:r>
    </w:p>
    <w:p w14:paraId="1A4DD5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1.产品包括模拟人，一个模型可同时连接≥4个无线听诊器，可根据实际使用情况调整连接听诊器数量。</w:t>
      </w:r>
    </w:p>
    <w:p w14:paraId="0C491F4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2.模拟人为无线便携式设计，外观仿真，内置锂电池，电池可连续使用不低于8小时。</w:t>
      </w:r>
    </w:p>
    <w:p w14:paraId="6C32A0F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3.模拟人心脏、肺部、腹部共有≥60个听诊点，每个听诊点上均可设置音源，可多学员、多个听诊器同时在不同部位听诊，互不干扰；特定心脏听诊点有震颤和传导。</w:t>
      </w:r>
    </w:p>
    <w:p w14:paraId="73CB5BC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在平板端（Android、IOS、windows系统）使用浏览器扫码进入，分训练/考核模式和教学模式；训练/考核模式，听诊器可独立设置，每个听诊器可分别设置不同的病例进行训练或考核；教学模式可供教师教学使用，所有听诊器病例一致。</w:t>
      </w:r>
    </w:p>
    <w:p w14:paraId="6998DFB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5.系统软件可显示正面视图、背面视图人体解剖图形，人体图形上显示听诊位置。</w:t>
      </w:r>
    </w:p>
    <w:p w14:paraId="68A5934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6.病例分为单音听诊、鉴别听诊、多音听诊等。</w:t>
      </w:r>
    </w:p>
    <w:p w14:paraId="5BA200C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教师可以在平板端实时查看到各个听诊器的听诊位置、听诊音源、电量、病例名称、当前工作模式等，并且可对指定听诊器进行听诊音外扩播放；听诊音外扩播放可选择模拟人扩音或平板扩音，音量可在平板端进行调节。</w:t>
      </w:r>
    </w:p>
    <w:p w14:paraId="3A7F77B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8.无线听诊器外观同真实听诊器，听诊效果真实，音量可调节；内置锂电池，并配有液晶屏，通过无线与模拟人连接，可通过扫码和不同模拟人快速绑定。</w:t>
      </w:r>
    </w:p>
    <w:p w14:paraId="213087A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cs="宋体"/>
          <w:b w:val="0"/>
          <w:bCs w:val="0"/>
          <w:color w:val="auto"/>
          <w:sz w:val="24"/>
          <w:szCs w:val="24"/>
          <w:lang w:val="en-US" w:eastAsia="zh-CN"/>
        </w:rPr>
        <w:t>无线听诊器在联网模式下，</w:t>
      </w:r>
      <w:r>
        <w:rPr>
          <w:rFonts w:hint="eastAsia" w:ascii="宋体" w:hAnsi="宋体" w:cs="宋体"/>
          <w:b w:val="0"/>
          <w:bCs w:val="0"/>
          <w:sz w:val="24"/>
          <w:szCs w:val="24"/>
          <w:lang w:val="en-US" w:eastAsia="zh-CN"/>
        </w:rPr>
        <w:t>可显示当前连接模拟人编号，听诊器编号，听诊病例名称，听诊音源名称等信息；在飞行模式（不联网）下，可进行单音听诊练习和离线病例听诊，在听诊器液晶屏上会显示相关的听诊音信息。</w:t>
      </w:r>
    </w:p>
    <w:p w14:paraId="20A7EAA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10.≥4种听诊无线联机模式：</w:t>
      </w:r>
    </w:p>
    <w:p w14:paraId="4C0076D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·方式一：平板电脑、模拟人、无线听诊器联机使用。</w:t>
      </w:r>
    </w:p>
    <w:p w14:paraId="72F8FD2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·方式二：模拟人、无线听诊器联机使用。</w:t>
      </w:r>
    </w:p>
    <w:p w14:paraId="205532E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·方式三：平板电脑、模拟人联机使用。</w:t>
      </w:r>
    </w:p>
    <w:p w14:paraId="63C8B87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·方式四：无线听诊器单独使用（听诊器内置音源可选择听诊）。</w:t>
      </w:r>
    </w:p>
    <w:p w14:paraId="53430AC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11.个性化的听诊参数设置：系统自带一百多个音源，教师可根据训练需求，可自行上传音源，可编辑病例，为每个听诊点按教学要求分配不同的听诊音。</w:t>
      </w:r>
    </w:p>
    <w:p w14:paraId="4425B34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12.提供同型号检测报告。</w:t>
      </w:r>
    </w:p>
    <w:p w14:paraId="466F79E7">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13.主要配置清单：听诊模型人，1台。</w:t>
      </w:r>
    </w:p>
    <w:p w14:paraId="6001409D">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（七）高级综合穿刺术技能训练模拟人（前倾坐位）（4个）</w:t>
      </w:r>
    </w:p>
    <w:p w14:paraId="2EBA8E1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1.男性躯干结构，反向坐于靠背椅上，双手臂置于椅背上缘，头伏于前臂。</w:t>
      </w:r>
    </w:p>
    <w:p w14:paraId="28782B1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2.体表标志明显，可以触及腋窝、第7颈椎、胸椎、肩胛骨、肋骨、肋间隙、腰椎。</w:t>
      </w:r>
    </w:p>
    <w:p w14:paraId="6A46DA6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3.胸腔穿刺：</w:t>
      </w:r>
    </w:p>
    <w:p w14:paraId="47708AC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3.1穿刺位置：肩胛下线第7～9肋间和腋中线第5～6肋间。</w:t>
      </w:r>
    </w:p>
    <w:p w14:paraId="515E94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3.2针头穿过壁层胸膜时，抵触感消失，连接注射器，可抽出胸腔积液。</w:t>
      </w:r>
    </w:p>
    <w:p w14:paraId="2E6EF86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3.3操作前有正确操作的语音讲解，操作过程中有电子语音提示正确/错误。</w:t>
      </w:r>
    </w:p>
    <w:p w14:paraId="0622EC7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3.4进针正确提示“穿刺部位正确”，进针错提示“部位错误，已损伤了神经和血管”。</w:t>
      </w:r>
    </w:p>
    <w:p w14:paraId="481803B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3.5在肩胛线或腋后线第9肋间穿刺提示“部位错误，此处易穿透膈肌损伤腹腔脏器”。</w:t>
      </w:r>
    </w:p>
    <w:p w14:paraId="6FB6F60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4.腰椎穿刺：</w:t>
      </w:r>
    </w:p>
    <w:p w14:paraId="3CB8D9F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4.1逼真腰部解剖结构，皮肤、皮下组织等，可在L3与L4或L4与L5之间的间隙进针。</w:t>
      </w:r>
    </w:p>
    <w:p w14:paraId="5ACC2CB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4.2穿刺成功有落空感，手感与真人接近，可收集脑脊液。</w:t>
      </w:r>
    </w:p>
    <w:p w14:paraId="7ED4D82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4.3可摆放成侧卧位，进行腰椎穿刺。</w:t>
      </w:r>
    </w:p>
    <w:p w14:paraId="443B937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4.5穿刺正确，语音提示“穿刺部位正确”，有无色液体模拟正常脑脊液流出。</w:t>
      </w:r>
    </w:p>
    <w:p w14:paraId="4504D48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4.6如在L1和L3腰椎间隙部位进针，语音提示“部位错误，已损伤了神经和血管”。</w:t>
      </w:r>
    </w:p>
    <w:p w14:paraId="62E9A51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5.配置遥控器，可选择穿刺方式，包括胸穿和腰穿；穿刺模式，包括训练模式和考试模式；可自行播放或停止语音，便于考试模式下操作。</w:t>
      </w:r>
    </w:p>
    <w:p w14:paraId="0454445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6.主要配置清单：高级综合穿刺术技能训练模拟人（前倾座位），1台；模拟人背心，1件；电源适配器，1个；遥控器，1个；不锈钢座椅架，1个。</w:t>
      </w:r>
    </w:p>
    <w:p w14:paraId="288C5EC1">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（八）关节穿刺模型人（3个）</w:t>
      </w:r>
    </w:p>
    <w:p w14:paraId="2D90C11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1.膝关节腔内注射模型，具有股骨、髌骨、胫骨、股四头肌和髌韧带、髌上囊、滑膜襞（脂肪垫）以及膝关节侧副韧带（囊外韧带）等结构，可供触诊训练和关节穿刺时正确定位。</w:t>
      </w:r>
    </w:p>
    <w:p w14:paraId="2B25E04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2.可训练膝关节腔（滑膜囊）内穿刺和注射方法。</w:t>
      </w:r>
    </w:p>
    <w:p w14:paraId="444DB97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3.穿刺部位操作正确时，控制盒上有相应部位的指示灯显示。</w:t>
      </w:r>
    </w:p>
    <w:p w14:paraId="4DAA97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4.标准的穿刺体位，可用一个单向阀向滑膜腔内多次注入液体，滑膜腔自动封口。7.主要配置清单：高级电子膝关节腔内注射模型，1台；高级电子膝关节腔内注射模型控制盒，1个；一次性防水尘布垫，1包。</w:t>
      </w:r>
    </w:p>
    <w:p w14:paraId="1247C5F1">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（九）气管镜学习模型（1个）</w:t>
      </w:r>
    </w:p>
    <w:p w14:paraId="173AB39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1.成人型，具备正确的人体内部解剖结构，可达4级支气管分支，通过纤维喉镜可以清楚看到隆突、支气管及左右主支气管。</w:t>
      </w:r>
    </w:p>
    <w:p w14:paraId="45CC7DE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2.碳纤维材质，耐用轻便。</w:t>
      </w:r>
    </w:p>
    <w:p w14:paraId="1BB97C3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3.支气管内部解剖学结构准确，可达4级支气管分支；</w:t>
      </w:r>
    </w:p>
    <w:p w14:paraId="47986F3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4.气道具备精准直观的内部结构，可以提供真实反馈；</w:t>
      </w:r>
    </w:p>
    <w:p w14:paraId="16E5FA5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5.具有真实尺寸和纹理的舌，舌可以充气模拟不同情况；</w:t>
      </w:r>
    </w:p>
    <w:p w14:paraId="2C1A33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6.增加与主气道更加相似的鼻腔气道，具备准确的解剖学标志，如：鼻甲。</w:t>
      </w:r>
    </w:p>
    <w:p w14:paraId="28E770B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7.可以进行诊断性气管镜检查操作；</w:t>
      </w:r>
    </w:p>
    <w:p w14:paraId="7421130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8.可以进行气管插管的操作；</w:t>
      </w:r>
    </w:p>
    <w:p w14:paraId="1593F10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9.可以进行用左、右支气管和支气管阻断肺隔离技术；</w:t>
      </w:r>
    </w:p>
    <w:p w14:paraId="7D06AF1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10.可以进行纤支镜检查；</w:t>
      </w:r>
    </w:p>
    <w:p w14:paraId="74BDC27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11.可以进行膨肺吸痰技术练习；</w:t>
      </w:r>
    </w:p>
    <w:p w14:paraId="7582064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12.可以进行单肺分离术；</w:t>
      </w:r>
    </w:p>
    <w:p w14:paraId="3AA75B5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13.可以进行经鼻气管插管操作；</w:t>
      </w:r>
    </w:p>
    <w:p w14:paraId="5E69088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14.可以进行双腔管定位；</w:t>
      </w:r>
    </w:p>
    <w:p w14:paraId="555257F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15.可以进行氧气袋和面罩通气技术操作；</w:t>
      </w:r>
    </w:p>
    <w:p w14:paraId="1D29C3D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16.进可以行直接喉镜检查；</w:t>
      </w:r>
    </w:p>
    <w:p w14:paraId="7546023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17.可以进行声门上气道插入操作；</w:t>
      </w:r>
    </w:p>
    <w:p w14:paraId="4D3FBD5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18.主要配置清单：支气管模型，1台。</w:t>
      </w:r>
    </w:p>
    <w:p w14:paraId="7A39C1A7">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（十）肺组织（1个）</w:t>
      </w:r>
    </w:p>
    <w:p w14:paraId="3412906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1.可显示左右肺的10个支气管。</w:t>
      </w:r>
    </w:p>
    <w:p w14:paraId="04F1022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2.放大的尺寸</w:t>
      </w:r>
    </w:p>
    <w:p w14:paraId="45588DF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3.PVC材料</w:t>
      </w:r>
    </w:p>
    <w:p w14:paraId="682B1920">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4.主要配置清单：肺部模型，1台。</w:t>
      </w:r>
    </w:p>
    <w:p w14:paraId="516B3C7F">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（十一）小儿综合模型人（1个）</w:t>
      </w:r>
    </w:p>
    <w:p w14:paraId="1170891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1.三岁儿童体征，形象逼真，皮肤柔软有弹性，可练习小儿腹腔穿刺术。</w:t>
      </w:r>
    </w:p>
    <w:p w14:paraId="39DD735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2.儿童护理：四肢关节可左右弯曲、旋转、上下活动，可进行洗浴、穿换衣服、口腔护理、耳清洗滴药、冷热疗法、全身包扎练习等护理操作。</w:t>
      </w:r>
    </w:p>
    <w:p w14:paraId="339E5A6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3.气道管理技术：逼真的口、鼻、舌、牙龈、咽、喉、食道、会厌、气管、气管环，可以练习经口气管插管，支持口对口、口对鼻、简易呼吸器对口等多种通气方式。</w:t>
      </w:r>
    </w:p>
    <w:p w14:paraId="53EF9B5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4.可摆放成仰卧位或侧卧位进行穿刺，穿刺成功有落空感，可抽出模拟腹腔液。</w:t>
      </w:r>
    </w:p>
    <w:p w14:paraId="6BDE807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5.穿刺部位可进行反复多次穿刺无渗漏，穿刺储液囊可更换。</w:t>
      </w:r>
    </w:p>
    <w:p w14:paraId="21741E7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6.吸痰法：经口、鼻插入吸痰管练习，模拟吸痰。</w:t>
      </w:r>
    </w:p>
    <w:p w14:paraId="366DAF4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7.氧气吸入法：有明显鼻中隔，可练习鼻导管给氧法。</w:t>
      </w:r>
    </w:p>
    <w:p w14:paraId="4210D3E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8.胃管置入术：可进行鼻饲，经口插入胃管进行洗胃、胃肠减压操作，支持腹部听诊检测插管位置。</w:t>
      </w:r>
    </w:p>
    <w:p w14:paraId="4AD5FC4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9.肌内注射：包括双侧三角肌皮下肌肉注射、双侧股外侧肌，注射模块更换方便。10.主要配置清单：小儿腹腔穿刺模型，1台；帆布手提包，1个。</w:t>
      </w:r>
    </w:p>
    <w:p w14:paraId="11D00875">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（十二）心包穿刺模型（1个）</w:t>
      </w:r>
    </w:p>
    <w:p w14:paraId="65F0371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1.仰卧位，质地柔软，触感真实，外观形象逼真。</w:t>
      </w:r>
    </w:p>
    <w:p w14:paraId="73CD22B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2.解剖标志明显，胸骨、剑突、肋骨、各肋间隙等可明显感触。</w:t>
      </w:r>
    </w:p>
    <w:p w14:paraId="4A9B5BA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3.可进行心前区穿刺训练，在剑突与第7肋软骨交界处下方进行穿刺，穿刺针成功进入心包腔后，通过负压有液体引出。</w:t>
      </w:r>
    </w:p>
    <w:p w14:paraId="56FBFB6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4.主要配置清单：心包穿刺与心内注射模型，1台。</w:t>
      </w:r>
    </w:p>
    <w:p w14:paraId="10339630">
      <w:pPr>
        <w:spacing w:line="360" w:lineRule="auto"/>
        <w:rPr>
          <w:rFonts w:hint="eastAsia" w:ascii="宋体" w:hAnsi="宋体"/>
          <w:b/>
          <w:bCs/>
          <w:sz w:val="24"/>
        </w:rPr>
      </w:pPr>
    </w:p>
    <w:p w14:paraId="6EC953A6">
      <w:pPr>
        <w:spacing w:line="360" w:lineRule="auto"/>
        <w:rPr>
          <w:rFonts w:ascii="宋体" w:hAnsi="宋体"/>
          <w:b/>
          <w:bCs/>
          <w:sz w:val="24"/>
        </w:rPr>
      </w:pPr>
      <w:r>
        <w:rPr>
          <w:rFonts w:hint="eastAsia" w:ascii="宋体" w:hAnsi="宋体"/>
          <w:b/>
          <w:bCs/>
          <w:sz w:val="24"/>
        </w:rPr>
        <w:t>二、商务要求</w:t>
      </w:r>
    </w:p>
    <w:p w14:paraId="466361D6">
      <w:pPr>
        <w:spacing w:line="360" w:lineRule="auto"/>
        <w:rPr>
          <w:rFonts w:hint="default" w:ascii="宋体" w:hAnsi="宋体" w:eastAsia="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66F364B3">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7CD9F16C">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678F85FA">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2BC00978">
      <w:pPr>
        <w:spacing w:line="360" w:lineRule="auto"/>
        <w:rPr>
          <w:rFonts w:ascii="宋体" w:hAnsi="宋体" w:cs="宋体"/>
          <w:sz w:val="24"/>
        </w:rPr>
      </w:pPr>
      <w:r>
        <w:rPr>
          <w:rFonts w:hint="eastAsia" w:ascii="宋体" w:hAnsi="宋体" w:cs="宋体"/>
          <w:sz w:val="24"/>
        </w:rPr>
        <w:t>5.履约保证金：无</w:t>
      </w:r>
    </w:p>
    <w:p w14:paraId="3BDF067B">
      <w:pPr>
        <w:spacing w:line="360" w:lineRule="auto"/>
        <w:rPr>
          <w:rFonts w:ascii="宋体" w:hAnsi="宋体" w:cs="宋体"/>
          <w:sz w:val="24"/>
        </w:rPr>
      </w:pPr>
      <w:r>
        <w:rPr>
          <w:rFonts w:hint="eastAsia" w:ascii="宋体" w:hAnsi="宋体" w:cs="宋体"/>
          <w:sz w:val="24"/>
        </w:rPr>
        <w:t>6.付款方式：</w:t>
      </w:r>
    </w:p>
    <w:p w14:paraId="4A372379">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2B534DA8">
      <w:pPr>
        <w:spacing w:line="360" w:lineRule="auto"/>
        <w:ind w:firstLine="240" w:firstLineChars="100"/>
        <w:rPr>
          <w:rFonts w:hint="eastAsia" w:asciiTheme="minorEastAsia" w:hAnsiTheme="minorEastAsia" w:eastAsiaTheme="minorEastAsia" w:cstheme="minorEastAsia"/>
          <w:color w:val="auto"/>
          <w:sz w:val="24"/>
          <w:szCs w:val="24"/>
          <w:lang w:eastAsia="zh-CN"/>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bookmarkStart w:id="60" w:name="_GoBack"/>
      <w:bookmarkEnd w:id="60"/>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4" w:name="_Toc24908"/>
      <w:r>
        <w:rPr>
          <w:rFonts w:hint="eastAsia"/>
          <w:color w:val="auto"/>
          <w:sz w:val="28"/>
          <w:highlight w:val="none"/>
        </w:rPr>
        <w:t>第一部分资格证明文件</w:t>
      </w:r>
      <w:bookmarkEnd w:id="4"/>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5" w:name="_Toc902"/>
      <w:bookmarkStart w:id="6" w:name="_Toc2479"/>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09749C91">
      <w:pPr>
        <w:spacing w:line="500" w:lineRule="exact"/>
        <w:rPr>
          <w:rFonts w:ascii="宋体" w:hAnsi="宋体"/>
          <w:sz w:val="24"/>
          <w:highlight w:val="none"/>
        </w:rPr>
      </w:pPr>
    </w:p>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8" w:name="_资格证明文件"/>
      <w:bookmarkEnd w:id="8"/>
      <w:bookmarkStart w:id="9" w:name="_Toc31029"/>
      <w:bookmarkStart w:id="10"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1" w:name="_Toc26111"/>
      <w:bookmarkStart w:id="12" w:name="_Toc11890"/>
      <w:bookmarkStart w:id="13"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 xml:space="preserve">提供下列资料之一作为财务状况证明资料： </w:t>
      </w:r>
    </w:p>
    <w:p w14:paraId="6A989404">
      <w:pPr>
        <w:pStyle w:val="69"/>
        <w:numPr>
          <w:ilvl w:val="0"/>
          <w:numId w:val="3"/>
        </w:numPr>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lang w:val="en-US" w:eastAsia="zh-CN"/>
        </w:rPr>
        <w:t>2023年度</w:t>
      </w:r>
      <w:r>
        <w:rPr>
          <w:rFonts w:hint="eastAsia" w:ascii="宋体" w:hAnsi="宋体"/>
          <w:color w:val="auto"/>
          <w:sz w:val="24"/>
          <w:highlight w:val="none"/>
        </w:rPr>
        <w:t xml:space="preserve">经会计师事务所或者审计机构审计的财务报告； </w:t>
      </w:r>
    </w:p>
    <w:p w14:paraId="208057C7">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rPr>
        <w:t>基本开户银行出具</w:t>
      </w:r>
      <w:r>
        <w:rPr>
          <w:rFonts w:hint="eastAsia" w:ascii="宋体" w:hAnsi="宋体"/>
          <w:color w:val="auto"/>
          <w:sz w:val="24"/>
        </w:rPr>
        <w:t>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4" w:name="_Toc24403"/>
      <w:bookmarkStart w:id="15" w:name="_Toc19319"/>
      <w:bookmarkStart w:id="16" w:name="_Toc56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rPr>
          <w:highlight w:val="none"/>
        </w:rPr>
      </w:pPr>
    </w:p>
    <w:p w14:paraId="6DFF1AFF">
      <w:pPr>
        <w:spacing w:line="360" w:lineRule="auto"/>
        <w:rPr>
          <w:rFonts w:hint="eastAsia" w:asciiTheme="minorEastAsia" w:hAnsiTheme="minorEastAsia"/>
          <w:color w:val="auto"/>
          <w:sz w:val="24"/>
          <w:highlight w:val="none"/>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7" w:name="_Toc1972"/>
      <w:bookmarkStart w:id="18" w:name="_Toc10542"/>
    </w:p>
    <w:p w14:paraId="217331AE">
      <w:pPr>
        <w:pStyle w:val="8"/>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0" w:name="_Toc8953"/>
      <w:bookmarkStart w:id="21" w:name="_Toc31728"/>
      <w:bookmarkStart w:id="22" w:name="_Toc3266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3" w:name="_Toc11219"/>
      <w:bookmarkStart w:id="24" w:name="_Toc28112"/>
      <w:bookmarkStart w:id="25"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3"/>
      <w:bookmarkEnd w:id="24"/>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5"/>
    <w:p w14:paraId="0705F273">
      <w:pPr>
        <w:bidi w:val="0"/>
        <w:rPr>
          <w:rFonts w:hint="eastAsia"/>
          <w:lang w:eastAsia="zh-CN"/>
        </w:rPr>
      </w:pPr>
      <w:bookmarkStart w:id="26"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7" w:name="_Toc3305"/>
      <w:r>
        <w:rPr>
          <w:rFonts w:hint="eastAsia"/>
          <w:color w:val="auto"/>
          <w:sz w:val="28"/>
          <w:szCs w:val="36"/>
          <w:highlight w:val="none"/>
          <w:lang w:eastAsia="zh-CN"/>
        </w:rPr>
        <w:t>八、无关联关系声明</w:t>
      </w:r>
      <w:bookmarkEnd w:id="26"/>
      <w:bookmarkEnd w:id="27"/>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8" w:name="_Toc29119"/>
      <w:r>
        <w:rPr>
          <w:rFonts w:hint="eastAsia"/>
          <w:color w:val="auto"/>
          <w:sz w:val="28"/>
          <w:highlight w:val="none"/>
        </w:rPr>
        <w:t>第二部分商务、技术文件</w:t>
      </w:r>
      <w:bookmarkEnd w:id="28"/>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29"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9"/>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1D5D3FE6">
            <w:pPr>
              <w:tabs>
                <w:tab w:val="left" w:pos="926"/>
                <w:tab w:val="left" w:pos="4335"/>
                <w:tab w:val="left" w:pos="4515"/>
                <w:tab w:val="left" w:pos="7227"/>
              </w:tabs>
              <w:jc w:val="center"/>
              <w:rPr>
                <w:rFonts w:hint="eastAsia"/>
                <w:sz w:val="24"/>
                <w:szCs w:val="24"/>
              </w:rPr>
            </w:pPr>
            <w:r>
              <w:rPr>
                <w:rFonts w:hint="eastAsia"/>
                <w:sz w:val="24"/>
                <w:szCs w:val="24"/>
              </w:rPr>
              <w:t>总报价</w:t>
            </w:r>
          </w:p>
          <w:p w14:paraId="5BD5151E">
            <w:pPr>
              <w:tabs>
                <w:tab w:val="left" w:pos="926"/>
                <w:tab w:val="left" w:pos="4335"/>
                <w:tab w:val="left" w:pos="4515"/>
                <w:tab w:val="left" w:pos="7227"/>
              </w:tabs>
              <w:ind w:left="-78"/>
              <w:jc w:val="center"/>
              <w:rPr>
                <w:rFonts w:hint="eastAsia"/>
                <w:sz w:val="24"/>
                <w:szCs w:val="24"/>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0" w:name="_Toc304219290"/>
      <w:bookmarkStart w:id="31" w:name="_Toc320878673"/>
      <w:bookmarkStart w:id="32" w:name="_Toc349642274"/>
      <w:bookmarkStart w:id="33" w:name="_Toc337475887"/>
      <w:bookmarkStart w:id="34"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0"/>
      <w:bookmarkEnd w:id="31"/>
      <w:bookmarkEnd w:id="32"/>
      <w:bookmarkEnd w:id="33"/>
      <w:bookmarkEnd w:id="34"/>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5" w:name="_Toc30834"/>
      <w:bookmarkStart w:id="36"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5"/>
      <w:bookmarkEnd w:id="36"/>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7"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7"/>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6"/>
        <w:rPr>
          <w:rFonts w:hint="eastAsia"/>
          <w:lang w:val="en-US" w:eastAsia="zh-CN"/>
        </w:rPr>
      </w:pPr>
    </w:p>
    <w:p w14:paraId="03CB649B">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5"/>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8" w:name="_Toc11982"/>
      <w:bookmarkStart w:id="39" w:name="_Toc23117"/>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8"/>
      <w:bookmarkEnd w:id="39"/>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0" w:name="_Toc20496"/>
      <w:bookmarkStart w:id="41"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0"/>
      <w:bookmarkEnd w:id="41"/>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2" w:name="_Toc4948"/>
      <w:bookmarkStart w:id="43" w:name="_Toc2922"/>
      <w:bookmarkStart w:id="44" w:name="_Toc337475928"/>
      <w:bookmarkStart w:id="45" w:name="_Toc12801"/>
      <w:bookmarkStart w:id="46" w:name="_Toc304219331"/>
      <w:bookmarkStart w:id="47" w:name="_Toc15867"/>
      <w:bookmarkStart w:id="48" w:name="_Toc10750"/>
      <w:bookmarkStart w:id="49" w:name="_Toc349642319"/>
      <w:bookmarkStart w:id="50" w:name="_Toc337554798"/>
      <w:bookmarkStart w:id="51" w:name="_Toc30765"/>
      <w:bookmarkStart w:id="52" w:name="_Toc28583"/>
      <w:bookmarkStart w:id="53" w:name="_Toc4599"/>
      <w:bookmarkStart w:id="54" w:name="_Toc320878714"/>
      <w:bookmarkStart w:id="55" w:name="_Toc29526"/>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2"/>
      <w:bookmarkEnd w:id="43"/>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6" w:name="_Toc7716"/>
      <w:bookmarkStart w:id="57" w:name="_Toc8810"/>
      <w:r>
        <w:rPr>
          <w:rFonts w:hint="eastAsia"/>
          <w:sz w:val="28"/>
          <w:szCs w:val="28"/>
          <w:lang w:val="en-US" w:eastAsia="zh-CN"/>
        </w:rPr>
        <w:t>九、优惠承诺</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8" w:name="_Toc11154"/>
      <w:bookmarkStart w:id="59" w:name="_Toc17593"/>
      <w:r>
        <w:rPr>
          <w:rFonts w:hint="eastAsia" w:asciiTheme="minorHAnsi" w:hAnsiTheme="minorHAnsi" w:eastAsiaTheme="minorEastAsia" w:cstheme="minorBidi"/>
          <w:b/>
          <w:bCs/>
          <w:kern w:val="2"/>
          <w:sz w:val="28"/>
          <w:szCs w:val="28"/>
          <w:lang w:val="en-US" w:eastAsia="zh-CN" w:bidi="ar-SA"/>
        </w:rPr>
        <w:t>十、</w:t>
      </w:r>
      <w:bookmarkEnd w:id="58"/>
      <w:bookmarkEnd w:id="59"/>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045E"/>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967703F"/>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E33DE5"/>
    <w:rsid w:val="10F249ED"/>
    <w:rsid w:val="10FC7C33"/>
    <w:rsid w:val="110D3767"/>
    <w:rsid w:val="11A46BCD"/>
    <w:rsid w:val="11BC20CD"/>
    <w:rsid w:val="12497277"/>
    <w:rsid w:val="128B0606"/>
    <w:rsid w:val="12987059"/>
    <w:rsid w:val="139B5B06"/>
    <w:rsid w:val="13A72394"/>
    <w:rsid w:val="13BC6FFC"/>
    <w:rsid w:val="13D17F63"/>
    <w:rsid w:val="13EA5200"/>
    <w:rsid w:val="144D1C4A"/>
    <w:rsid w:val="148056BB"/>
    <w:rsid w:val="1485577B"/>
    <w:rsid w:val="14E47A52"/>
    <w:rsid w:val="151F18D7"/>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8504E"/>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64694F"/>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586430"/>
    <w:rsid w:val="44AF31BA"/>
    <w:rsid w:val="45E93670"/>
    <w:rsid w:val="46822C95"/>
    <w:rsid w:val="46967A84"/>
    <w:rsid w:val="47D00F21"/>
    <w:rsid w:val="48091059"/>
    <w:rsid w:val="48166E5A"/>
    <w:rsid w:val="48964506"/>
    <w:rsid w:val="48F301C0"/>
    <w:rsid w:val="493F4F1D"/>
    <w:rsid w:val="49B303BC"/>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2558D5"/>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97119CE"/>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4"/>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1068</Words>
  <Characters>1204</Characters>
  <Lines>315</Lines>
  <Paragraphs>88</Paragraphs>
  <TotalTime>0</TotalTime>
  <ScaleCrop>false</ScaleCrop>
  <LinksUpToDate>false</LinksUpToDate>
  <CharactersWithSpaces>1263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2025-01-25T02:56:08Z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9F864C899646459C90904352EFF59B80_13</vt:lpwstr>
  </property>
  <property fmtid="{D5CDD505-2E9C-101B-9397-08002B2CF9AE}" pid="4" name="KSOTemplateDocerSaveRecord">
    <vt:lpwstr>eyJoZGlkIjoiMTUyMDA2ZjQ4N2YyNDAzZWJjY2U2NWNkZDY5ZDY4ZDAiLCJ1c2VySWQiOiI2OTIxMTkxNTcifQ==</vt:lpwstr>
  </property>
</Properties>
</file>