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自制饮用水生产及配送服务项目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9"/>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018</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11B4736D">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自制饮用水生产及配送服务项目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河南省胸科医院自制饮用水生产及配送服务项目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南院区桶装水供应</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18.48</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12</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14</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5C270E5F"/>
    <w:p w14:paraId="385D999D">
      <w:pPr>
        <w:rPr>
          <w:spacing w:val="7"/>
        </w:rPr>
      </w:pPr>
      <w:r>
        <w:rPr>
          <w:spacing w:val="7"/>
        </w:rPr>
        <w:br w:type="page"/>
      </w:r>
    </w:p>
    <w:p w14:paraId="4A8FC21A">
      <w:pPr>
        <w:pStyle w:val="28"/>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9"/>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9"/>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val="en-US" w:eastAsia="zh-CN"/>
              </w:rPr>
              <w:t>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6661845"/>
      <w:bookmarkStart w:id="2" w:name="_Toc2902"/>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772F8524">
      <w:pPr>
        <w:pStyle w:val="68"/>
        <w:spacing w:line="220" w:lineRule="atLeast"/>
        <w:ind w:firstLine="0" w:firstLineChars="0"/>
        <w:rPr>
          <w:rFonts w:hint="eastAsia" w:ascii="宋体" w:hAnsi="宋体"/>
          <w:sz w:val="30"/>
          <w:szCs w:val="30"/>
        </w:rPr>
      </w:pPr>
      <w:r>
        <w:rPr>
          <w:rFonts w:hint="eastAsia" w:ascii="宋体" w:hAnsi="宋体"/>
          <w:sz w:val="30"/>
          <w:szCs w:val="30"/>
        </w:rPr>
        <w:t>一．技术要求</w:t>
      </w:r>
    </w:p>
    <w:p w14:paraId="6E2DE2E3">
      <w:pPr>
        <w:pStyle w:val="68"/>
        <w:spacing w:line="220" w:lineRule="atLeast"/>
        <w:ind w:firstLine="0" w:firstLineChars="0"/>
        <w:rPr>
          <w:rFonts w:hint="eastAsia" w:ascii="宋体" w:hAnsi="宋体"/>
          <w:sz w:val="30"/>
          <w:szCs w:val="30"/>
        </w:rPr>
      </w:pPr>
      <w:r>
        <w:rPr>
          <w:rFonts w:hint="eastAsia" w:ascii="宋体" w:hAnsi="宋体"/>
          <w:sz w:val="30"/>
          <w:szCs w:val="30"/>
        </w:rPr>
        <w:t>1.供</w:t>
      </w:r>
      <w:r>
        <w:rPr>
          <w:sz w:val="32"/>
        </w:rPr>
        <w:t>方需提供相关营业执照，从业人员健康证</w:t>
      </w:r>
      <w:r>
        <w:rPr>
          <w:rFonts w:hint="eastAsia"/>
          <w:sz w:val="32"/>
        </w:rPr>
        <w:t>等相关材料。</w:t>
      </w:r>
      <w:r>
        <w:rPr>
          <w:rFonts w:hint="eastAsia" w:ascii="宋体" w:hAnsi="宋体"/>
          <w:sz w:val="30"/>
          <w:szCs w:val="30"/>
        </w:rPr>
        <w:t>负责医院南院区各科室桶装水的运送工作，做到满足供应及时送达。</w:t>
      </w:r>
    </w:p>
    <w:p w14:paraId="63DA96AF">
      <w:pPr>
        <w:pStyle w:val="68"/>
        <w:spacing w:line="220" w:lineRule="atLeast"/>
        <w:ind w:firstLine="0" w:firstLineChars="0"/>
        <w:rPr>
          <w:rFonts w:hint="eastAsia" w:ascii="宋体" w:hAnsi="宋体"/>
          <w:sz w:val="30"/>
          <w:szCs w:val="30"/>
        </w:rPr>
      </w:pPr>
      <w:r>
        <w:rPr>
          <w:rFonts w:hint="eastAsia" w:ascii="宋体" w:hAnsi="宋体"/>
          <w:sz w:val="30"/>
          <w:szCs w:val="30"/>
        </w:rPr>
        <w:t>2.供方承担饮用水桶的购买、回收及消毒工作，水桶押金的收取和退回由其负责管理。</w:t>
      </w:r>
      <w:bookmarkStart w:id="3" w:name="OLE_LINK2"/>
      <w:bookmarkStart w:id="4" w:name="OLE_LINK1"/>
    </w:p>
    <w:bookmarkEnd w:id="3"/>
    <w:bookmarkEnd w:id="4"/>
    <w:p w14:paraId="75F67AD5">
      <w:pPr>
        <w:spacing w:line="220" w:lineRule="atLeast"/>
        <w:rPr>
          <w:rFonts w:hint="eastAsia" w:ascii="宋体" w:hAnsi="宋体"/>
          <w:sz w:val="30"/>
          <w:szCs w:val="30"/>
        </w:rPr>
      </w:pPr>
      <w:r>
        <w:rPr>
          <w:rFonts w:hint="eastAsia" w:ascii="宋体" w:hAnsi="宋体"/>
          <w:sz w:val="30"/>
          <w:szCs w:val="30"/>
        </w:rPr>
        <w:t>3.保证提供合格、安全的饮用水，生产过程流程合理、操作规范。饮用水的卫生及矿物质含量要达到相关卫生标准、质量技术要求。</w:t>
      </w:r>
    </w:p>
    <w:p w14:paraId="43E6CF88">
      <w:pPr>
        <w:spacing w:line="220" w:lineRule="atLeast"/>
        <w:rPr>
          <w:rFonts w:ascii="宋体" w:hAnsi="宋体"/>
          <w:sz w:val="30"/>
          <w:szCs w:val="30"/>
        </w:rPr>
      </w:pPr>
      <w:r>
        <w:rPr>
          <w:rFonts w:hint="eastAsia" w:ascii="宋体" w:hAnsi="宋体"/>
          <w:sz w:val="30"/>
          <w:szCs w:val="30"/>
        </w:rPr>
        <w:t>4. 每年不少于两次检测水质，桶装水的卫生及技术指标要达到国家标准（GB19298</w:t>
      </w:r>
      <w:r>
        <w:rPr>
          <w:rFonts w:ascii="宋体" w:hAnsi="宋体"/>
          <w:sz w:val="30"/>
          <w:szCs w:val="30"/>
        </w:rPr>
        <w:t>—</w:t>
      </w:r>
      <w:r>
        <w:rPr>
          <w:rFonts w:hint="eastAsia" w:ascii="宋体" w:hAnsi="宋体"/>
          <w:sz w:val="30"/>
          <w:szCs w:val="30"/>
        </w:rPr>
        <w:t>2014），每两月提供一次微生物及污染物检测报告单，每半年提供一次全面检测报告单。</w:t>
      </w:r>
    </w:p>
    <w:p w14:paraId="2BDFA8B5">
      <w:pPr>
        <w:spacing w:line="220" w:lineRule="atLeast"/>
        <w:rPr>
          <w:rFonts w:hint="eastAsia" w:ascii="宋体" w:hAnsi="宋体"/>
          <w:sz w:val="30"/>
          <w:szCs w:val="30"/>
        </w:rPr>
      </w:pPr>
      <w:r>
        <w:rPr>
          <w:rFonts w:hint="eastAsia" w:ascii="宋体" w:hAnsi="宋体"/>
          <w:sz w:val="30"/>
          <w:szCs w:val="30"/>
        </w:rPr>
        <w:t>5.</w:t>
      </w:r>
      <w:bookmarkStart w:id="5" w:name="OLE_LINK4"/>
      <w:bookmarkStart w:id="6" w:name="OLE_LINK3"/>
      <w:r>
        <w:rPr>
          <w:rFonts w:hint="eastAsia" w:ascii="宋体" w:hAnsi="宋体"/>
          <w:sz w:val="30"/>
          <w:szCs w:val="30"/>
        </w:rPr>
        <w:t>本项目</w:t>
      </w:r>
      <w:bookmarkEnd w:id="5"/>
      <w:bookmarkEnd w:id="6"/>
      <w:r>
        <w:rPr>
          <w:rFonts w:hint="eastAsia" w:ascii="宋体" w:hAnsi="宋体"/>
          <w:sz w:val="30"/>
          <w:szCs w:val="30"/>
        </w:rPr>
        <w:t>桶装水以容量18.9L为计量单位。</w:t>
      </w:r>
    </w:p>
    <w:p w14:paraId="0877F109">
      <w:pPr>
        <w:spacing w:line="220" w:lineRule="atLeast"/>
        <w:rPr>
          <w:rFonts w:hint="eastAsia" w:ascii="宋体" w:hAnsi="宋体"/>
          <w:sz w:val="30"/>
          <w:szCs w:val="30"/>
        </w:rPr>
      </w:pPr>
      <w:r>
        <w:rPr>
          <w:rFonts w:hint="eastAsia" w:ascii="宋体" w:hAnsi="宋体"/>
          <w:sz w:val="30"/>
          <w:szCs w:val="30"/>
        </w:rPr>
        <w:t>二．商务要求：</w:t>
      </w:r>
    </w:p>
    <w:p w14:paraId="771D31B2">
      <w:pPr>
        <w:spacing w:line="220" w:lineRule="atLeast"/>
        <w:rPr>
          <w:rFonts w:hint="eastAsia" w:ascii="宋体" w:hAnsi="宋体"/>
          <w:sz w:val="30"/>
          <w:szCs w:val="30"/>
        </w:rPr>
      </w:pPr>
      <w:r>
        <w:rPr>
          <w:rFonts w:hint="eastAsia" w:ascii="宋体" w:hAnsi="宋体"/>
          <w:sz w:val="30"/>
          <w:szCs w:val="30"/>
        </w:rPr>
        <w:t>1.往年南院区桶装水用量为8000桶/年左右，价格为不高于7.7元/桶。</w:t>
      </w:r>
    </w:p>
    <w:p w14:paraId="6A2F8F7C">
      <w:pPr>
        <w:pStyle w:val="68"/>
        <w:spacing w:line="220" w:lineRule="atLeast"/>
        <w:ind w:firstLine="0" w:firstLineChars="0"/>
        <w:rPr>
          <w:rFonts w:hint="eastAsia" w:ascii="宋体" w:hAnsi="宋体"/>
          <w:sz w:val="30"/>
          <w:szCs w:val="30"/>
        </w:rPr>
      </w:pPr>
      <w:r>
        <w:rPr>
          <w:rFonts w:hint="eastAsia" w:ascii="宋体" w:hAnsi="宋体"/>
          <w:sz w:val="30"/>
          <w:szCs w:val="30"/>
        </w:rPr>
        <w:t>2.本项目服务期限：三年</w:t>
      </w:r>
    </w:p>
    <w:p w14:paraId="76742A4E">
      <w:pPr>
        <w:pStyle w:val="68"/>
        <w:spacing w:line="220" w:lineRule="atLeast"/>
        <w:ind w:firstLine="0" w:firstLineChars="0"/>
        <w:rPr>
          <w:rFonts w:hint="eastAsia" w:ascii="宋体" w:hAnsi="宋体"/>
          <w:sz w:val="30"/>
          <w:szCs w:val="30"/>
        </w:rPr>
      </w:pPr>
      <w:r>
        <w:rPr>
          <w:rFonts w:hint="eastAsia" w:ascii="宋体" w:hAnsi="宋体"/>
          <w:sz w:val="30"/>
          <w:szCs w:val="30"/>
        </w:rPr>
        <w:t>3.本项目履约保证金：无</w:t>
      </w:r>
    </w:p>
    <w:p w14:paraId="76D4E7CA">
      <w:pPr>
        <w:spacing w:line="220" w:lineRule="atLeast"/>
        <w:rPr>
          <w:rFonts w:hint="eastAsia" w:ascii="宋体" w:hAnsi="宋体"/>
          <w:sz w:val="30"/>
          <w:szCs w:val="30"/>
        </w:rPr>
      </w:pPr>
      <w:r>
        <w:rPr>
          <w:rFonts w:hint="eastAsia" w:ascii="宋体" w:hAnsi="宋体"/>
          <w:sz w:val="30"/>
          <w:szCs w:val="30"/>
        </w:rPr>
        <w:t>4.本项目付款方式：桶装水以元/桶为单位计价。每两月依据实际供应量，据实结算。</w:t>
      </w: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9"/>
        <w:rPr>
          <w:rFonts w:hint="eastAsia"/>
        </w:rPr>
      </w:pPr>
    </w:p>
    <w:p w14:paraId="78681214">
      <w:pPr>
        <w:rPr>
          <w:rFonts w:hint="eastAsia"/>
        </w:rPr>
      </w:pPr>
    </w:p>
    <w:p w14:paraId="70684DE0">
      <w:pPr>
        <w:pStyle w:val="29"/>
        <w:rPr>
          <w:rFonts w:hint="eastAsia"/>
        </w:rPr>
      </w:pPr>
    </w:p>
    <w:p w14:paraId="55DD8377">
      <w:pPr>
        <w:rPr>
          <w:rFonts w:hint="eastAsia"/>
        </w:rPr>
      </w:pPr>
    </w:p>
    <w:p w14:paraId="5C0B2F81">
      <w:pPr>
        <w:pStyle w:val="29"/>
        <w:rPr>
          <w:rFonts w:hint="eastAsia"/>
        </w:rPr>
      </w:pPr>
    </w:p>
    <w:p w14:paraId="278CA45A">
      <w:pPr>
        <w:rPr>
          <w:rFonts w:hint="eastAsia"/>
        </w:rPr>
      </w:pPr>
    </w:p>
    <w:p w14:paraId="6A2DAC7B">
      <w:pPr>
        <w:pStyle w:val="29"/>
        <w:rPr>
          <w:rFonts w:hint="eastAsia"/>
        </w:rPr>
      </w:pPr>
    </w:p>
    <w:p w14:paraId="440B3A57">
      <w:pPr>
        <w:rPr>
          <w:rFonts w:hint="eastAsia"/>
        </w:rPr>
      </w:pPr>
    </w:p>
    <w:p w14:paraId="214BB755">
      <w:pPr>
        <w:pStyle w:val="29"/>
        <w:rPr>
          <w:rFonts w:hint="eastAsia"/>
        </w:rPr>
      </w:pPr>
    </w:p>
    <w:p w14:paraId="2C3F8A77">
      <w:pPr>
        <w:pStyle w:val="23"/>
        <w:spacing w:before="0" w:after="0"/>
        <w:rPr>
          <w:color w:val="auto"/>
          <w:sz w:val="28"/>
          <w:highlight w:val="none"/>
        </w:rPr>
      </w:pPr>
      <w:bookmarkStart w:id="7" w:name="_Toc24908"/>
      <w:r>
        <w:rPr>
          <w:rFonts w:hint="eastAsia"/>
          <w:color w:val="auto"/>
          <w:sz w:val="28"/>
          <w:highlight w:val="none"/>
        </w:rPr>
        <w:t>第一部分资格证明文件</w:t>
      </w:r>
      <w:bookmarkEnd w:id="7"/>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4"/>
        <w:spacing w:before="0" w:after="0"/>
        <w:jc w:val="center"/>
        <w:rPr>
          <w:rFonts w:hint="eastAsia"/>
          <w:color w:val="auto"/>
          <w:sz w:val="28"/>
          <w:szCs w:val="36"/>
          <w:highlight w:val="none"/>
        </w:rPr>
      </w:pPr>
      <w:bookmarkStart w:id="8" w:name="_Toc2479"/>
      <w:bookmarkStart w:id="9" w:name="_Toc902"/>
    </w:p>
    <w:p w14:paraId="1D20CFD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8"/>
      <w:bookmarkEnd w:id="9"/>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w:t>
      </w:r>
      <w:r>
        <w:rPr>
          <w:rFonts w:hint="eastAsia" w:ascii="宋体" w:hAnsi="宋体"/>
          <w:sz w:val="24"/>
          <w:highlight w:val="none"/>
        </w:rPr>
        <w:t>）为本公司的合法代理人，就项目编号为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10"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0"/>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供应</w:t>
      </w:r>
      <w:r>
        <w:rPr>
          <w:rFonts w:hint="eastAsia" w:asciiTheme="minorHAnsi" w:hAnsiTheme="minorHAnsi" w:eastAsiaTheme="minorEastAsia" w:cstheme="minorBidi"/>
          <w:sz w:val="24"/>
          <w:highlight w:val="none"/>
        </w:rPr>
        <w:t>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11"/>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11"/>
        <w:rPr>
          <w:rFonts w:ascii="宋体"/>
          <w:sz w:val="24"/>
        </w:rPr>
      </w:pPr>
      <w:r>
        <w:rPr>
          <w:rFonts w:ascii="宋体"/>
          <w:sz w:val="24"/>
        </w:rPr>
        <w:br w:type="page"/>
      </w:r>
    </w:p>
    <w:p w14:paraId="0053ABFE">
      <w:pPr>
        <w:jc w:val="center"/>
        <w:rPr>
          <w:rFonts w:ascii="宋体"/>
          <w:color w:val="auto"/>
          <w:highlight w:val="none"/>
        </w:rPr>
      </w:pPr>
    </w:p>
    <w:p w14:paraId="19C70E25">
      <w:pPr>
        <w:pStyle w:val="4"/>
        <w:spacing w:before="0" w:after="0"/>
        <w:jc w:val="center"/>
        <w:rPr>
          <w:rFonts w:hint="eastAsia"/>
          <w:color w:val="auto"/>
          <w:sz w:val="28"/>
          <w:szCs w:val="36"/>
          <w:highlight w:val="none"/>
        </w:rPr>
      </w:pPr>
      <w:bookmarkStart w:id="11" w:name="_资格证明文件"/>
      <w:bookmarkEnd w:id="11"/>
      <w:bookmarkStart w:id="12" w:name="_Toc31029"/>
      <w:bookmarkStart w:id="13" w:name="_Toc10534"/>
    </w:p>
    <w:p w14:paraId="285AB64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2"/>
      <w:bookmarkEnd w:id="13"/>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4"/>
        <w:spacing w:before="0" w:after="0"/>
        <w:jc w:val="center"/>
        <w:rPr>
          <w:rFonts w:hint="eastAsia"/>
          <w:color w:val="auto"/>
          <w:sz w:val="28"/>
          <w:szCs w:val="28"/>
          <w:highlight w:val="none"/>
        </w:rPr>
      </w:pPr>
      <w:bookmarkStart w:id="14" w:name="_Toc26111"/>
      <w:bookmarkStart w:id="15" w:name="_Toc4559"/>
      <w:bookmarkStart w:id="16" w:name="_Toc11890"/>
    </w:p>
    <w:p w14:paraId="041F227E">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4"/>
      <w:bookmarkEnd w:id="15"/>
      <w:bookmarkEnd w:id="16"/>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2023或2024年</w:t>
      </w:r>
      <w:r>
        <w:rPr>
          <w:rFonts w:hint="eastAsia" w:ascii="宋体" w:hAnsi="宋体"/>
          <w:color w:val="auto"/>
          <w:sz w:val="24"/>
          <w:highlight w:val="none"/>
          <w:lang w:val="en-US" w:eastAsia="zh-CN"/>
        </w:rPr>
        <w:t>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208057C7">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4"/>
        <w:spacing w:before="0" w:after="0"/>
        <w:jc w:val="center"/>
        <w:rPr>
          <w:rFonts w:hint="eastAsia"/>
          <w:color w:val="auto"/>
          <w:sz w:val="28"/>
          <w:szCs w:val="28"/>
          <w:highlight w:val="none"/>
        </w:rPr>
      </w:pPr>
      <w:bookmarkStart w:id="17" w:name="_Toc19319"/>
      <w:bookmarkStart w:id="18" w:name="_Toc569"/>
      <w:bookmarkStart w:id="19" w:name="_Toc24403"/>
    </w:p>
    <w:p w14:paraId="611D463F">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7"/>
      <w:bookmarkEnd w:id="18"/>
      <w:bookmarkEnd w:id="19"/>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9"/>
      </w:pPr>
    </w:p>
    <w:p w14:paraId="7A8CD2B4"/>
    <w:p w14:paraId="00699A4E">
      <w:pPr>
        <w:pStyle w:val="29"/>
      </w:pPr>
    </w:p>
    <w:p w14:paraId="5A3C0D9C"/>
    <w:p w14:paraId="6F6EAEA4">
      <w:pPr>
        <w:pStyle w:val="29"/>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20" w:name="_Toc1972"/>
      <w:bookmarkStart w:id="21" w:name="_Toc10542"/>
    </w:p>
    <w:p w14:paraId="217331AE">
      <w:pPr>
        <w:pStyle w:val="4"/>
        <w:spacing w:before="0" w:after="0"/>
        <w:jc w:val="center"/>
        <w:rPr>
          <w:color w:val="auto"/>
          <w:sz w:val="28"/>
          <w:szCs w:val="28"/>
          <w:highlight w:val="none"/>
        </w:rPr>
      </w:pPr>
      <w:bookmarkStart w:id="22" w:name="_Toc32290"/>
      <w:r>
        <w:rPr>
          <w:rFonts w:hint="eastAsia"/>
          <w:color w:val="auto"/>
          <w:sz w:val="28"/>
          <w:szCs w:val="28"/>
          <w:highlight w:val="none"/>
        </w:rPr>
        <w:t>五、有依法缴纳税收和社会保障资金的良好记录</w:t>
      </w:r>
      <w:bookmarkEnd w:id="20"/>
      <w:bookmarkEnd w:id="21"/>
      <w:bookmarkEnd w:id="22"/>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4"/>
        <w:spacing w:before="0" w:after="0"/>
        <w:jc w:val="center"/>
        <w:rPr>
          <w:rFonts w:hint="eastAsia"/>
          <w:color w:val="auto"/>
          <w:sz w:val="28"/>
          <w:highlight w:val="none"/>
        </w:rPr>
      </w:pPr>
      <w:bookmarkStart w:id="23" w:name="_Toc31728"/>
      <w:bookmarkStart w:id="24" w:name="_Toc8953"/>
      <w:bookmarkStart w:id="25" w:name="_Toc32668"/>
    </w:p>
    <w:p w14:paraId="3C1C0E10">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3"/>
      <w:bookmarkEnd w:id="24"/>
      <w:bookmarkEnd w:id="25"/>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9"/>
      </w:pPr>
    </w:p>
    <w:p w14:paraId="29494B65"/>
    <w:p w14:paraId="22BBA0BE">
      <w:pPr>
        <w:pStyle w:val="29"/>
      </w:pPr>
    </w:p>
    <w:p w14:paraId="70091D9D"/>
    <w:p w14:paraId="38D2735C">
      <w:pPr>
        <w:pStyle w:val="29"/>
      </w:pPr>
    </w:p>
    <w:p w14:paraId="7589F6FB"/>
    <w:p w14:paraId="609F681A">
      <w:pPr>
        <w:pStyle w:val="29"/>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6" w:name="_Toc11219"/>
      <w:bookmarkStart w:id="27" w:name="_Toc28112"/>
      <w:bookmarkStart w:id="28" w:name="_Toc4657"/>
    </w:p>
    <w:p w14:paraId="55494778">
      <w:pPr>
        <w:pStyle w:val="4"/>
        <w:spacing w:before="0" w:after="0"/>
        <w:jc w:val="center"/>
        <w:rPr>
          <w:rFonts w:hint="eastAsia"/>
          <w:color w:val="auto"/>
          <w:sz w:val="24"/>
          <w:highlight w:val="none"/>
        </w:rPr>
      </w:pPr>
    </w:p>
    <w:p w14:paraId="76453834">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6"/>
      <w:bookmarkEnd w:id="27"/>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8"/>
    <w:p w14:paraId="0705F273">
      <w:pPr>
        <w:bidi w:val="0"/>
        <w:rPr>
          <w:rFonts w:hint="eastAsia"/>
          <w:lang w:eastAsia="zh-CN"/>
        </w:rPr>
      </w:pPr>
      <w:bookmarkStart w:id="29"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5"/>
        <w:rPr>
          <w:rFonts w:hint="eastAsia"/>
          <w:lang w:eastAsia="zh-CN"/>
        </w:rPr>
      </w:pPr>
    </w:p>
    <w:p w14:paraId="70EC5DF8">
      <w:pPr>
        <w:pStyle w:val="4"/>
        <w:spacing w:before="0" w:after="0"/>
        <w:jc w:val="center"/>
        <w:rPr>
          <w:rFonts w:hint="eastAsia"/>
          <w:color w:val="auto"/>
          <w:sz w:val="28"/>
          <w:szCs w:val="36"/>
          <w:highlight w:val="none"/>
          <w:lang w:eastAsia="zh-CN"/>
        </w:rPr>
      </w:pPr>
      <w:bookmarkStart w:id="30" w:name="_Toc3305"/>
      <w:r>
        <w:rPr>
          <w:rFonts w:hint="eastAsia"/>
          <w:color w:val="auto"/>
          <w:sz w:val="28"/>
          <w:szCs w:val="36"/>
          <w:highlight w:val="none"/>
          <w:lang w:eastAsia="zh-CN"/>
        </w:rPr>
        <w:t>八、无关联关系声明</w:t>
      </w:r>
      <w:bookmarkEnd w:id="29"/>
      <w:bookmarkEnd w:id="30"/>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9"/>
        <w:rPr>
          <w:sz w:val="24"/>
          <w:szCs w:val="24"/>
        </w:rPr>
      </w:pPr>
    </w:p>
    <w:p w14:paraId="43D90602">
      <w:pPr>
        <w:rPr>
          <w:sz w:val="24"/>
          <w:szCs w:val="24"/>
        </w:rPr>
      </w:pPr>
    </w:p>
    <w:p w14:paraId="668D1288">
      <w:pPr>
        <w:pStyle w:val="29"/>
        <w:rPr>
          <w:sz w:val="24"/>
          <w:szCs w:val="24"/>
        </w:rPr>
      </w:pPr>
    </w:p>
    <w:p w14:paraId="45BB0534">
      <w:pPr>
        <w:rPr>
          <w:sz w:val="24"/>
          <w:szCs w:val="24"/>
        </w:rPr>
      </w:pPr>
    </w:p>
    <w:p w14:paraId="3B2A48B0">
      <w:pPr>
        <w:pStyle w:val="29"/>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3"/>
        <w:rPr>
          <w:color w:val="auto"/>
          <w:sz w:val="28"/>
          <w:highlight w:val="none"/>
        </w:rPr>
      </w:pPr>
      <w:bookmarkStart w:id="31" w:name="_Toc29119"/>
      <w:r>
        <w:rPr>
          <w:rFonts w:hint="eastAsia"/>
          <w:color w:val="auto"/>
          <w:sz w:val="28"/>
          <w:highlight w:val="none"/>
        </w:rPr>
        <w:t>第二部分商务、技术文件</w:t>
      </w:r>
      <w:bookmarkEnd w:id="31"/>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4"/>
        <w:spacing w:before="0" w:after="0"/>
        <w:jc w:val="center"/>
        <w:rPr>
          <w:rFonts w:hint="eastAsia" w:eastAsiaTheme="minorEastAsia"/>
          <w:color w:val="auto"/>
          <w:sz w:val="28"/>
          <w:highlight w:val="none"/>
          <w:lang w:eastAsia="zh-CN"/>
        </w:rPr>
      </w:pPr>
      <w:bookmarkStart w:id="32" w:name="_Toc11563"/>
      <w:r>
        <w:rPr>
          <w:rFonts w:hint="eastAsia"/>
          <w:color w:val="auto"/>
          <w:sz w:val="28"/>
          <w:highlight w:val="none"/>
          <w:lang w:eastAsia="zh-CN"/>
        </w:rPr>
        <w:t>一</w:t>
      </w:r>
      <w:r>
        <w:rPr>
          <w:rFonts w:hint="eastAsia"/>
          <w:color w:val="auto"/>
          <w:sz w:val="28"/>
          <w:highlight w:val="none"/>
        </w:rPr>
        <w:t>、报价</w:t>
      </w:r>
      <w:bookmarkEnd w:id="32"/>
      <w:r>
        <w:rPr>
          <w:rFonts w:hint="eastAsia"/>
          <w:color w:val="auto"/>
          <w:sz w:val="28"/>
          <w:highlight w:val="none"/>
          <w:lang w:eastAsia="zh-CN"/>
        </w:rPr>
        <w:t>一览表</w:t>
      </w:r>
    </w:p>
    <w:p w14:paraId="01E3F518">
      <w:pPr>
        <w:pStyle w:val="8"/>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48D6F078">
      <w:pPr>
        <w:pStyle w:val="8"/>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highlight w:val="none"/>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highlight w:val="none"/>
              </w:rPr>
            </w:pPr>
          </w:p>
          <w:p w14:paraId="1D5D3FE6">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5BD5151E">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16CB668A">
            <w:pPr>
              <w:tabs>
                <w:tab w:val="left" w:pos="926"/>
                <w:tab w:val="left" w:pos="4335"/>
                <w:tab w:val="left" w:pos="4515"/>
                <w:tab w:val="left" w:pos="7227"/>
              </w:tabs>
              <w:ind w:firstLine="210" w:firstLineChars="100"/>
              <w:jc w:val="left"/>
              <w:rPr>
                <w:rFonts w:hint="eastAsia"/>
                <w:highlight w:val="none"/>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rPr>
                <w:highlight w:val="none"/>
              </w:rPr>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279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1E73955">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060DC2C0">
            <w:pPr>
              <w:tabs>
                <w:tab w:val="left" w:pos="926"/>
                <w:tab w:val="left" w:pos="4335"/>
                <w:tab w:val="left" w:pos="4515"/>
                <w:tab w:val="left" w:pos="7227"/>
              </w:tabs>
              <w:spacing w:line="360" w:lineRule="auto"/>
              <w:rPr>
                <w:rFonts w:hint="eastAsia"/>
                <w:sz w:val="24"/>
                <w:szCs w:val="24"/>
                <w:highlight w:val="none"/>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highlight w:val="none"/>
              </w:rPr>
            </w:pP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bookmarkStart w:id="63" w:name="_GoBack"/>
            <w:bookmarkEnd w:id="63"/>
          </w:p>
          <w:p w14:paraId="295E4B36">
            <w:pPr>
              <w:pStyle w:val="29"/>
            </w:pPr>
          </w:p>
        </w:tc>
      </w:tr>
    </w:tbl>
    <w:p w14:paraId="5500FF8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9"/>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3" w:name="_Toc320878673"/>
      <w:bookmarkStart w:id="34" w:name="_Toc349642274"/>
      <w:bookmarkStart w:id="35" w:name="_Toc304219290"/>
      <w:bookmarkStart w:id="36" w:name="_Toc337475887"/>
      <w:bookmarkStart w:id="37"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3"/>
      <w:bookmarkEnd w:id="34"/>
      <w:bookmarkEnd w:id="35"/>
      <w:bookmarkEnd w:id="36"/>
      <w:bookmarkEnd w:id="37"/>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9"/>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9"/>
        <w:rPr>
          <w:rFonts w:hint="eastAsia"/>
        </w:rPr>
      </w:pPr>
    </w:p>
    <w:p w14:paraId="04D2AEB7">
      <w:pPr>
        <w:pStyle w:val="8"/>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4"/>
        <w:spacing w:before="0" w:after="0"/>
        <w:jc w:val="center"/>
        <w:rPr>
          <w:color w:val="auto"/>
          <w:sz w:val="28"/>
          <w:highlight w:val="none"/>
        </w:rPr>
      </w:pPr>
      <w:bookmarkStart w:id="38" w:name="_Toc21266"/>
      <w:bookmarkStart w:id="3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8"/>
      <w:bookmarkEnd w:id="39"/>
    </w:p>
    <w:p w14:paraId="18EB54BC">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11"/>
        <w:jc w:val="center"/>
        <w:outlineLvl w:val="1"/>
        <w:rPr>
          <w:b/>
          <w:color w:val="auto"/>
          <w:sz w:val="32"/>
          <w:szCs w:val="32"/>
        </w:rPr>
      </w:pPr>
    </w:p>
    <w:p w14:paraId="1F87C041">
      <w:pPr>
        <w:pStyle w:val="11"/>
        <w:jc w:val="center"/>
        <w:outlineLvl w:val="1"/>
        <w:rPr>
          <w:b/>
          <w:color w:val="auto"/>
          <w:sz w:val="32"/>
          <w:szCs w:val="32"/>
        </w:rPr>
      </w:pPr>
    </w:p>
    <w:p w14:paraId="1E127678">
      <w:pPr>
        <w:pStyle w:val="11"/>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9"/>
        <w:rPr>
          <w:rFonts w:hint="eastAsia"/>
          <w:lang w:val="en-US" w:eastAsia="zh-CN"/>
        </w:rPr>
      </w:pPr>
    </w:p>
    <w:p w14:paraId="11CAA2BC">
      <w:pPr>
        <w:rPr>
          <w:rFonts w:hint="eastAsia"/>
          <w:lang w:val="en-US" w:eastAsia="zh-CN"/>
        </w:rPr>
      </w:pPr>
    </w:p>
    <w:p w14:paraId="04CE027E">
      <w:pPr>
        <w:pStyle w:val="29"/>
        <w:rPr>
          <w:rFonts w:hint="eastAsia"/>
          <w:lang w:val="en-US" w:eastAsia="zh-CN"/>
        </w:rPr>
      </w:pPr>
    </w:p>
    <w:p w14:paraId="55B2279D">
      <w:pPr>
        <w:rPr>
          <w:rFonts w:hint="eastAsia"/>
          <w:lang w:val="en-US" w:eastAsia="zh-CN"/>
        </w:rPr>
      </w:pPr>
    </w:p>
    <w:p w14:paraId="0ADA7B4A">
      <w:pPr>
        <w:pStyle w:val="29"/>
        <w:rPr>
          <w:rFonts w:hint="eastAsia"/>
          <w:lang w:val="en-US" w:eastAsia="zh-CN"/>
        </w:rPr>
      </w:pPr>
    </w:p>
    <w:p w14:paraId="7E1EF0A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9"/>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0"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0"/>
    </w:p>
    <w:p w14:paraId="088A3459">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9"/>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9"/>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8"/>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9"/>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9"/>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9"/>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9"/>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9"/>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9"/>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9"/>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9"/>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9"/>
        <w:ind w:left="0" w:leftChars="0" w:firstLine="0" w:firstLineChars="0"/>
        <w:rPr>
          <w:rFonts w:hint="eastAsia"/>
          <w:lang w:val="en-US" w:eastAsia="zh-CN"/>
        </w:rPr>
      </w:pPr>
    </w:p>
    <w:p w14:paraId="280FF4BA">
      <w:pPr>
        <w:pStyle w:val="29"/>
        <w:rPr>
          <w:rFonts w:hint="eastAsia"/>
          <w:lang w:val="en-US" w:eastAsia="zh-CN"/>
        </w:rPr>
      </w:pPr>
    </w:p>
    <w:p w14:paraId="5F5CE9CA">
      <w:pPr>
        <w:pStyle w:val="8"/>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9"/>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4"/>
        <w:numPr>
          <w:ilvl w:val="0"/>
          <w:numId w:val="3"/>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9"/>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9"/>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8"/>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4"/>
        <w:spacing w:before="0" w:after="0"/>
        <w:jc w:val="center"/>
        <w:rPr>
          <w:rFonts w:hint="eastAsia"/>
          <w:color w:val="auto"/>
          <w:sz w:val="28"/>
          <w:highlight w:val="none"/>
          <w:lang w:val="en-US" w:eastAsia="zh-CN"/>
        </w:rPr>
      </w:pPr>
      <w:bookmarkStart w:id="41" w:name="_Toc23117"/>
      <w:bookmarkStart w:id="42" w:name="_Toc11982"/>
    </w:p>
    <w:p w14:paraId="73E4086F">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1"/>
      <w:bookmarkEnd w:id="42"/>
    </w:p>
    <w:p w14:paraId="187645CF">
      <w:pPr>
        <w:pStyle w:val="3"/>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4"/>
        <w:spacing w:before="0" w:after="0"/>
        <w:jc w:val="center"/>
        <w:rPr>
          <w:rFonts w:hint="eastAsia"/>
          <w:color w:val="auto"/>
          <w:sz w:val="28"/>
          <w:highlight w:val="none"/>
          <w:lang w:val="en-US" w:eastAsia="zh-CN"/>
        </w:rPr>
      </w:pPr>
      <w:bookmarkStart w:id="43" w:name="_Toc20496"/>
      <w:bookmarkStart w:id="44" w:name="_Toc23816"/>
    </w:p>
    <w:p w14:paraId="2CC7706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3"/>
      <w:bookmarkEnd w:id="44"/>
    </w:p>
    <w:p w14:paraId="63C7682D">
      <w:pPr>
        <w:spacing w:line="360" w:lineRule="auto"/>
        <w:rPr>
          <w:rFonts w:hint="eastAsia"/>
          <w:color w:val="auto"/>
          <w:sz w:val="24"/>
          <w:szCs w:val="24"/>
          <w:highlight w:val="cyan"/>
        </w:rPr>
      </w:pPr>
    </w:p>
    <w:p w14:paraId="793C4A0A">
      <w:pPr>
        <w:pStyle w:val="3"/>
        <w:rPr>
          <w:rFonts w:hint="eastAsia"/>
          <w:lang w:eastAsia="zh-CN"/>
        </w:rPr>
      </w:pPr>
    </w:p>
    <w:p w14:paraId="3E7C444A">
      <w:pPr>
        <w:pStyle w:val="3"/>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4"/>
        <w:bidi w:val="0"/>
        <w:jc w:val="center"/>
        <w:rPr>
          <w:rFonts w:hint="eastAsia"/>
          <w:color w:val="auto"/>
          <w:sz w:val="28"/>
          <w:highlight w:val="none"/>
          <w:lang w:val="en-US" w:eastAsia="zh-CN"/>
        </w:rPr>
      </w:pPr>
      <w:bookmarkStart w:id="45" w:name="_Toc2922"/>
      <w:bookmarkStart w:id="46" w:name="_Toc4948"/>
      <w:bookmarkStart w:id="47" w:name="_Toc304219331"/>
      <w:bookmarkStart w:id="48" w:name="_Toc15867"/>
      <w:bookmarkStart w:id="49" w:name="_Toc4599"/>
      <w:bookmarkStart w:id="50" w:name="_Toc320878714"/>
      <w:bookmarkStart w:id="51" w:name="_Toc28583"/>
      <w:bookmarkStart w:id="52" w:name="_Toc349642319"/>
      <w:bookmarkStart w:id="53" w:name="_Toc29526"/>
      <w:bookmarkStart w:id="54" w:name="_Toc337554798"/>
      <w:bookmarkStart w:id="55" w:name="_Toc337475928"/>
      <w:bookmarkStart w:id="56" w:name="_Toc10750"/>
      <w:bookmarkStart w:id="57" w:name="_Toc12801"/>
      <w:bookmarkStart w:id="58" w:name="_Toc30765"/>
    </w:p>
    <w:p w14:paraId="0FD6AB0C">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5"/>
      <w:bookmarkEnd w:id="46"/>
    </w:p>
    <w:p w14:paraId="55792971">
      <w:pPr>
        <w:pStyle w:val="3"/>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4"/>
        <w:bidi w:val="0"/>
        <w:jc w:val="center"/>
        <w:rPr>
          <w:rFonts w:hint="eastAsia"/>
          <w:sz w:val="28"/>
          <w:szCs w:val="28"/>
        </w:rPr>
      </w:pPr>
      <w:bookmarkStart w:id="59" w:name="_Toc8810"/>
      <w:bookmarkStart w:id="60" w:name="_Toc7716"/>
      <w:r>
        <w:rPr>
          <w:rFonts w:hint="eastAsia"/>
          <w:sz w:val="28"/>
          <w:szCs w:val="28"/>
          <w:lang w:val="en-US" w:eastAsia="zh-CN"/>
        </w:rPr>
        <w:t>九、优惠承诺</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1" w:name="_Toc11154"/>
      <w:bookmarkStart w:id="62" w:name="_Toc17593"/>
      <w:r>
        <w:rPr>
          <w:rFonts w:hint="eastAsia" w:asciiTheme="minorHAnsi" w:hAnsiTheme="minorHAnsi" w:eastAsiaTheme="minorEastAsia" w:cstheme="minorBidi"/>
          <w:b/>
          <w:bCs/>
          <w:kern w:val="2"/>
          <w:sz w:val="28"/>
          <w:szCs w:val="28"/>
          <w:lang w:val="en-US" w:eastAsia="zh-CN" w:bidi="ar-SA"/>
        </w:rPr>
        <w:t>十、</w:t>
      </w:r>
      <w:bookmarkEnd w:id="61"/>
      <w:bookmarkEnd w:id="62"/>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4"/>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053D3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C270A15"/>
    <w:rsid w:val="2D8D413C"/>
    <w:rsid w:val="2DD1787D"/>
    <w:rsid w:val="2ED620E1"/>
    <w:rsid w:val="2F197CDD"/>
    <w:rsid w:val="2FF06D60"/>
    <w:rsid w:val="302C1EE7"/>
    <w:rsid w:val="30364DFA"/>
    <w:rsid w:val="314C707A"/>
    <w:rsid w:val="31C2642D"/>
    <w:rsid w:val="32897C96"/>
    <w:rsid w:val="32B141B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063A03"/>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1E4BFD"/>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296419"/>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E884514"/>
    <w:rsid w:val="5FF321A8"/>
    <w:rsid w:val="60D3492A"/>
    <w:rsid w:val="60D777F7"/>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13020A"/>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6E7C30"/>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1068</Words>
  <Characters>1204</Characters>
  <Lines>315</Lines>
  <Paragraphs>88</Paragraphs>
  <TotalTime>2</TotalTime>
  <ScaleCrop>false</ScaleCrop>
  <LinksUpToDate>false</LinksUpToDate>
  <CharactersWithSpaces>1263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2025-02-11T01:25:54Z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0C38C7E4FC4641049BC8EC68CE085C9F_13</vt:lpwstr>
  </property>
  <property fmtid="{D5CDD505-2E9C-101B-9397-08002B2CF9AE}" pid="4" name="KSOTemplateDocerSaveRecord">
    <vt:lpwstr>eyJoZGlkIjoiMTUyMDA2ZjQ4N2YyNDAzZWJjY2U2NWNkZDY5ZDY4ZDAiLCJ1c2VySWQiOiI2OTIxMTkxNTcifQ==</vt:lpwstr>
  </property>
</Properties>
</file>