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567A07B">
      <w:pPr>
        <w:jc w:val="center"/>
        <w:rPr>
          <w:rFonts w:hint="eastAsia" w:ascii="宋体" w:hAnsi="宋体" w:cs="宋体"/>
          <w:b/>
          <w:sz w:val="40"/>
          <w:szCs w:val="40"/>
          <w:highlight w:val="none"/>
          <w:lang w:eastAsia="zh-CN"/>
        </w:rPr>
      </w:pPr>
      <w:r>
        <w:rPr>
          <w:rFonts w:hint="eastAsia" w:ascii="宋体" w:hAnsi="宋体" w:cs="宋体"/>
          <w:b/>
          <w:sz w:val="40"/>
          <w:szCs w:val="40"/>
        </w:rPr>
        <w:t>河南省胸</w:t>
      </w:r>
      <w:r>
        <w:rPr>
          <w:rFonts w:hint="eastAsia" w:ascii="宋体" w:hAnsi="宋体" w:cs="宋体"/>
          <w:b/>
          <w:sz w:val="40"/>
          <w:szCs w:val="40"/>
          <w:highlight w:val="none"/>
        </w:rPr>
        <w:t>科医院</w:t>
      </w:r>
      <w:r>
        <w:rPr>
          <w:rFonts w:hint="eastAsia" w:ascii="宋体" w:hAnsi="宋体" w:cs="宋体"/>
          <w:b/>
          <w:sz w:val="40"/>
          <w:szCs w:val="40"/>
          <w:highlight w:val="none"/>
          <w:lang w:eastAsia="zh-CN"/>
        </w:rPr>
        <w:t>颈腰椎脊柱无创减压系统</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highlight w:val="none"/>
          <w:lang w:eastAsia="zh-CN"/>
        </w:rPr>
        <w:t>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highlight w:val="none"/>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035</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04DA86C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lang w:eastAsia="zh-CN"/>
        </w:rPr>
        <w:t>河南省胸科医院颈腰椎脊柱无创减压系统采购项目</w:t>
      </w:r>
      <w:r>
        <w:rPr>
          <w:rFonts w:hint="eastAsia" w:ascii="宋体" w:hAnsi="宋体"/>
          <w:b/>
          <w:sz w:val="28"/>
          <w:szCs w:val="28"/>
        </w:rPr>
        <w:t xml:space="preserve"> </w:t>
      </w:r>
    </w:p>
    <w:p w14:paraId="11716E89">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default" w:ascii="宋体" w:hAnsi="宋体"/>
          <w:b/>
          <w:sz w:val="28"/>
          <w:szCs w:val="28"/>
        </w:rPr>
      </w:pPr>
      <w:r>
        <w:rPr>
          <w:rFonts w:hint="eastAsia" w:ascii="宋体" w:hAnsi="宋体"/>
          <w:b/>
          <w:sz w:val="28"/>
          <w:szCs w:val="28"/>
        </w:rPr>
        <w:t>公开议价公告</w:t>
      </w:r>
    </w:p>
    <w:p w14:paraId="1F27894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A7E2E9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河南省胸科医院颈腰椎脊柱无创减压系统采购项目</w:t>
      </w:r>
      <w:r>
        <w:rPr>
          <w:rFonts w:hint="default" w:asciiTheme="minorEastAsia" w:hAnsiTheme="minorEastAsia" w:eastAsiaTheme="minorEastAsia" w:cstheme="minorEastAsia"/>
          <w:color w:val="333333"/>
          <w:sz w:val="24"/>
          <w:szCs w:val="24"/>
        </w:rPr>
        <w:t>。</w:t>
      </w:r>
    </w:p>
    <w:p w14:paraId="1A90801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6D7615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采购</w:t>
      </w:r>
      <w:r>
        <w:rPr>
          <w:rFonts w:hint="eastAsia" w:asciiTheme="minorEastAsia" w:hAnsiTheme="minorEastAsia" w:eastAsiaTheme="minorEastAsia" w:cstheme="minorEastAsia"/>
          <w:color w:val="333333"/>
          <w:sz w:val="24"/>
          <w:szCs w:val="24"/>
          <w:lang w:eastAsia="zh-CN"/>
        </w:rPr>
        <w:t>颈腰椎脊柱无创减压系统</w:t>
      </w:r>
      <w:r>
        <w:rPr>
          <w:rFonts w:hint="eastAsia" w:asciiTheme="minorEastAsia" w:hAnsiTheme="minorEastAsia" w:eastAsiaTheme="minorEastAsia" w:cstheme="minorEastAsia"/>
          <w:color w:val="333333"/>
          <w:sz w:val="24"/>
          <w:szCs w:val="24"/>
          <w:lang w:val="en-US" w:eastAsia="zh-CN"/>
        </w:rPr>
        <w:t>1台</w:t>
      </w:r>
      <w:r>
        <w:rPr>
          <w:rFonts w:hint="default" w:asciiTheme="minorEastAsia" w:hAnsiTheme="minorEastAsia" w:eastAsiaTheme="minorEastAsia" w:cstheme="minorEastAsia"/>
          <w:color w:val="333333"/>
          <w:sz w:val="24"/>
          <w:szCs w:val="24"/>
        </w:rPr>
        <w:t>。</w:t>
      </w:r>
    </w:p>
    <w:p w14:paraId="56CD193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0654323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200000</w:t>
      </w:r>
      <w:r>
        <w:rPr>
          <w:rFonts w:hint="default" w:asciiTheme="minorEastAsia" w:hAnsiTheme="minorEastAsia" w:eastAsiaTheme="minorEastAsia" w:cstheme="minorEastAsia"/>
          <w:color w:val="333333"/>
          <w:sz w:val="24"/>
          <w:szCs w:val="24"/>
        </w:rPr>
        <w:t>元。</w:t>
      </w:r>
    </w:p>
    <w:p w14:paraId="05AFC7F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C88AD9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9A3D9D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5EE431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654637E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188ACF2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2DCB38B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640CEA2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493267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45EBD1B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BF6D79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751D76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35139C5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467791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B0420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5AF2A4A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18</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69B6C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58FC73F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DAB60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DC78C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2C87235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0B31A1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5326DA8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41111C9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478563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4939F7F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33B985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5E21718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2C19E4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947BDB9">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666A5BB2">
      <w:pPr>
        <w:widowControl/>
        <w:autoSpaceDE w:val="0"/>
        <w:autoSpaceDN w:val="0"/>
        <w:adjustRightInd w:val="0"/>
        <w:spacing w:line="360" w:lineRule="auto"/>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一、技术要求</w:t>
      </w:r>
    </w:p>
    <w:p w14:paraId="664E4345">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1、数量1台，间歇式非线性对数拉力，牵引力基于韦伯费希纳定律关系模型设置，18个周期间歇式泵压牵拉。</w:t>
      </w:r>
    </w:p>
    <w:p w14:paraId="4B883ECF">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2、闭环式拉力动态控制系统，高精度力学监测系统实时反馈拉力。</w:t>
      </w:r>
    </w:p>
    <w:p w14:paraId="74A85FE0">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3、精确的拉力角度调节系统，可根据治疗椎体调节牵引角度。</w:t>
      </w:r>
    </w:p>
    <w:p w14:paraId="16D93FC3">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4、</w:t>
      </w:r>
      <w:r>
        <w:rPr>
          <w:rFonts w:ascii="Helvetica" w:hAnsi="Helvetica" w:cs="Helvetica"/>
          <w:sz w:val="24"/>
          <w:szCs w:val="24"/>
        </w:rPr>
        <w:t>要求具备多重安全保护</w:t>
      </w:r>
      <w:r>
        <w:rPr>
          <w:rFonts w:hint="eastAsia" w:ascii="Helvetica" w:hAnsi="Helvetica" w:cs="Helvetica"/>
          <w:sz w:val="24"/>
          <w:szCs w:val="24"/>
        </w:rPr>
        <w:t>系统</w:t>
      </w:r>
      <w:r>
        <w:rPr>
          <w:rFonts w:ascii="Helvetica" w:hAnsi="Helvetica" w:cs="Helvetica"/>
          <w:sz w:val="24"/>
          <w:szCs w:val="24"/>
        </w:rPr>
        <w:t>，包括急停开关、阈值感应等，超过设定范围，系统自动暂停。</w:t>
      </w:r>
      <w:r>
        <w:rPr>
          <w:rFonts w:hint="eastAsia" w:asciiTheme="minorEastAsia" w:hAnsiTheme="minorEastAsia" w:cstheme="minorEastAsia"/>
          <w:color w:val="FF0000"/>
          <w:sz w:val="24"/>
          <w:szCs w:val="24"/>
        </w:rPr>
        <w:t xml:space="preserve"> </w:t>
      </w:r>
    </w:p>
    <w:p w14:paraId="0C0E186E">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5、颈腰一体，一键切换，系统自动切换成颈椎或腰椎治疗模式。</w:t>
      </w:r>
    </w:p>
    <w:p w14:paraId="5FBE21B5">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6、可拆卸仿手法环抱式颈部固定装置，使颈椎治疗更安全、更舒适。</w:t>
      </w:r>
    </w:p>
    <w:p w14:paraId="092470BC">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7、漂移AB床体，床体分成上下两截为AB床体，下床体可在治疗过程中解锁漂移。</w:t>
      </w:r>
    </w:p>
    <w:p w14:paraId="589B03B1">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8、腰部气囊，腰部气囊撑起腰部生理曲度。</w:t>
      </w:r>
    </w:p>
    <w:p w14:paraId="330724A4">
      <w:pPr>
        <w:pStyle w:val="68"/>
      </w:pPr>
      <w:r>
        <w:rPr>
          <w:rFonts w:hint="eastAsia"/>
        </w:rPr>
        <w:t>9、</w:t>
      </w:r>
      <w:r>
        <w:rPr>
          <w:rFonts w:ascii="Helvetica" w:hAnsi="Helvetica" w:cs="Helvetica"/>
        </w:rPr>
        <w:t>要求具备</w:t>
      </w:r>
      <w:r>
        <w:rPr>
          <w:rFonts w:hint="eastAsia"/>
        </w:rPr>
        <w:t>患者管理、治疗有序安排、治疗数据分析等信息计算管理系统。</w:t>
      </w:r>
    </w:p>
    <w:p w14:paraId="2CB3BA50">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10、操作屏幕≥20寸触摸屏操控。</w:t>
      </w:r>
    </w:p>
    <w:p w14:paraId="1A79BBE4">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11、拉力传感器监测频率≥20次/s，精度：≤1N。</w:t>
      </w:r>
    </w:p>
    <w:p w14:paraId="6A0E0E35">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12、</w:t>
      </w:r>
      <w:r>
        <w:rPr>
          <w:rFonts w:ascii="Helvetica" w:hAnsi="Helvetica" w:cs="Helvetica"/>
          <w:sz w:val="24"/>
          <w:szCs w:val="24"/>
        </w:rPr>
        <w:t>治疗角度的定位要求可以通过按钮手动微调</w:t>
      </w:r>
      <w:r>
        <w:rPr>
          <w:rFonts w:hint="eastAsia" w:asciiTheme="minorEastAsia" w:hAnsiTheme="minorEastAsia" w:cstheme="minorEastAsia"/>
          <w:sz w:val="24"/>
          <w:szCs w:val="24"/>
        </w:rPr>
        <w:t>：腰椎至少应具有 0°、10°、15°、20°、23°、25°，颈椎至少应具有0°、2°、</w:t>
      </w:r>
      <w:r>
        <w:rPr>
          <w:rFonts w:hint="eastAsia" w:asciiTheme="minorEastAsia" w:hAnsiTheme="minorEastAsia" w:cstheme="minorEastAsia"/>
          <w:sz w:val="24"/>
          <w:szCs w:val="24"/>
        </w:rPr>
        <w:tab/>
      </w:r>
      <w:r>
        <w:rPr>
          <w:rFonts w:hint="eastAsia" w:asciiTheme="minorEastAsia" w:hAnsiTheme="minorEastAsia" w:cstheme="minorEastAsia"/>
          <w:sz w:val="24"/>
          <w:szCs w:val="24"/>
        </w:rPr>
        <w:t>4°、8°、13°、17°，误差±2°。</w:t>
      </w:r>
    </w:p>
    <w:p w14:paraId="60DCD105">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13、牵引力范围可调：腰椎0N～667N，颈椎0 N～222N，误差：±10N。</w:t>
      </w:r>
    </w:p>
    <w:p w14:paraId="779E8FB8">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14、牵引力距离：腰椎≤100mm，颈椎≤90mm，误差：±5mm。</w:t>
      </w:r>
    </w:p>
    <w:p w14:paraId="1645A64A">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15、治疗时间设定范围：15min～30min。</w:t>
      </w:r>
    </w:p>
    <w:p w14:paraId="3045AC35">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16、配置清单：无</w:t>
      </w:r>
    </w:p>
    <w:p w14:paraId="7AE05EA6">
      <w:pPr>
        <w:spacing w:line="360" w:lineRule="auto"/>
        <w:rPr>
          <w:rFonts w:hint="eastAsia" w:ascii="宋体" w:hAnsi="宋体"/>
          <w:sz w:val="24"/>
        </w:rPr>
      </w:pPr>
      <w:r>
        <w:rPr>
          <w:rFonts w:hint="eastAsia" w:ascii="宋体" w:hAnsi="宋体"/>
          <w:b/>
          <w:bCs/>
          <w:sz w:val="24"/>
        </w:rPr>
        <w:t>二、商务要求</w:t>
      </w:r>
      <w:r>
        <w:rPr>
          <w:rFonts w:hint="eastAsia" w:ascii="宋体" w:hAnsi="宋体"/>
          <w:sz w:val="24"/>
        </w:rPr>
        <w:t xml:space="preserve"> </w:t>
      </w:r>
      <w:bookmarkStart w:id="67" w:name="_GoBack"/>
      <w:bookmarkEnd w:id="67"/>
    </w:p>
    <w:p w14:paraId="0C9BF5F4">
      <w:pPr>
        <w:spacing w:line="360" w:lineRule="auto"/>
        <w:rPr>
          <w:rFonts w:hint="eastAsia" w:ascii="宋体" w:hAnsi="宋体"/>
          <w:sz w:val="24"/>
        </w:rPr>
      </w:pPr>
      <w:r>
        <w:rPr>
          <w:rFonts w:hint="eastAsia" w:ascii="宋体" w:hAnsi="宋体"/>
          <w:sz w:val="24"/>
        </w:rPr>
        <w:t>1.特定资格要求：</w:t>
      </w:r>
    </w:p>
    <w:p w14:paraId="563737A1">
      <w:pPr>
        <w:spacing w:line="360" w:lineRule="auto"/>
        <w:ind w:firstLine="240" w:firstLineChars="100"/>
        <w:rPr>
          <w:rFonts w:hint="eastAsia" w:ascii="宋体" w:hAnsi="宋体"/>
          <w:sz w:val="24"/>
        </w:rPr>
      </w:pPr>
      <w:r>
        <w:rPr>
          <w:rFonts w:hint="eastAsia" w:ascii="宋体" w:hAnsi="宋体"/>
          <w:sz w:val="24"/>
        </w:rPr>
        <w:t>1.1 响应产品须具有医疗器械产品注册证或医疗器械产品备案凭证；</w:t>
      </w:r>
    </w:p>
    <w:p w14:paraId="1F5DF8DA">
      <w:pPr>
        <w:spacing w:line="360" w:lineRule="auto"/>
        <w:ind w:firstLine="240" w:firstLineChars="100"/>
        <w:rPr>
          <w:rFonts w:hint="eastAsia" w:ascii="宋体" w:hAnsi="宋体"/>
          <w:sz w:val="24"/>
        </w:rPr>
      </w:pPr>
      <w:r>
        <w:rPr>
          <w:rFonts w:hint="eastAsia" w:ascii="宋体" w:hAnsi="宋体"/>
          <w:sz w:val="24"/>
        </w:rPr>
        <w:t>1.2 供应商如为生产厂家须具有相适应的生产资格（医疗器械生产许可证或医疗器械生产备案凭证）；如为代理商（经销商）须具有相应的经营资格（医疗器械经营许可证或医疗器械经营备案凭证）。</w:t>
      </w:r>
    </w:p>
    <w:p w14:paraId="7320831B">
      <w:pPr>
        <w:spacing w:line="360" w:lineRule="auto"/>
        <w:rPr>
          <w:rFonts w:hint="eastAsia" w:ascii="宋体" w:hAnsi="宋体"/>
          <w:b/>
          <w:bCs/>
          <w:color w:val="FF0000"/>
          <w:sz w:val="24"/>
        </w:rPr>
      </w:pPr>
      <w:r>
        <w:rPr>
          <w:rFonts w:hint="eastAsia" w:ascii="宋体" w:hAnsi="宋体"/>
          <w:sz w:val="24"/>
        </w:rPr>
        <w:t>2.交货期：合同签订后</w:t>
      </w:r>
      <w:r>
        <w:rPr>
          <w:rFonts w:hint="eastAsia" w:ascii="宋体" w:hAnsi="宋体"/>
          <w:b/>
          <w:bCs/>
          <w:color w:val="FF0000"/>
          <w:sz w:val="24"/>
        </w:rPr>
        <w:t>30日历天</w:t>
      </w:r>
    </w:p>
    <w:p w14:paraId="4152A0B0">
      <w:pPr>
        <w:spacing w:line="360" w:lineRule="auto"/>
        <w:rPr>
          <w:rFonts w:hint="eastAsia" w:ascii="宋体" w:hAnsi="宋体"/>
          <w:sz w:val="24"/>
        </w:rPr>
      </w:pPr>
      <w:r>
        <w:rPr>
          <w:rFonts w:hint="eastAsia" w:ascii="宋体" w:hAnsi="宋体"/>
          <w:bCs/>
          <w:sz w:val="24"/>
        </w:rPr>
        <w:t>3.是否接受进口产品</w:t>
      </w:r>
      <w:r>
        <w:rPr>
          <w:rFonts w:hint="eastAsia" w:ascii="宋体" w:hAnsi="宋体"/>
          <w:b/>
          <w:bCs/>
          <w:color w:val="FF0000"/>
          <w:sz w:val="24"/>
        </w:rPr>
        <w:t>：否</w:t>
      </w:r>
    </w:p>
    <w:p w14:paraId="19EB5FC6">
      <w:pPr>
        <w:spacing w:line="360" w:lineRule="auto"/>
        <w:rPr>
          <w:rFonts w:hint="eastAsia" w:ascii="宋体" w:hAnsi="宋体"/>
          <w:sz w:val="24"/>
        </w:rPr>
      </w:pPr>
      <w:r>
        <w:rPr>
          <w:rFonts w:hint="eastAsia" w:ascii="宋体" w:hAnsi="宋体"/>
          <w:sz w:val="24"/>
        </w:rPr>
        <w:t>4.质保期：</w:t>
      </w:r>
      <w:r>
        <w:rPr>
          <w:rFonts w:hint="eastAsia" w:ascii="宋体" w:hAnsi="宋体"/>
          <w:b/>
          <w:bCs/>
          <w:color w:val="FF0000"/>
          <w:sz w:val="24"/>
        </w:rPr>
        <w:t>≥3年</w:t>
      </w:r>
      <w:r>
        <w:rPr>
          <w:rFonts w:hint="eastAsia" w:ascii="宋体" w:hAnsi="宋体"/>
          <w:sz w:val="24"/>
        </w:rPr>
        <w:t>（供应商需明确具体年数）</w:t>
      </w:r>
    </w:p>
    <w:p w14:paraId="75C5EE9E">
      <w:pPr>
        <w:spacing w:line="360" w:lineRule="auto"/>
        <w:rPr>
          <w:rFonts w:hint="eastAsia" w:ascii="宋体" w:hAnsi="宋体"/>
          <w:sz w:val="24"/>
        </w:rPr>
      </w:pPr>
      <w:r>
        <w:rPr>
          <w:rFonts w:hint="eastAsia" w:ascii="宋体" w:hAnsi="宋体"/>
          <w:sz w:val="24"/>
        </w:rPr>
        <w:t>5.履约保证金：无</w:t>
      </w:r>
    </w:p>
    <w:p w14:paraId="45600C5F">
      <w:pPr>
        <w:spacing w:line="360" w:lineRule="auto"/>
        <w:rPr>
          <w:rFonts w:hint="eastAsia" w:ascii="宋体" w:hAnsi="宋体"/>
          <w:sz w:val="24"/>
        </w:rPr>
      </w:pPr>
      <w:r>
        <w:rPr>
          <w:rFonts w:hint="eastAsia" w:ascii="宋体" w:hAnsi="宋体"/>
          <w:sz w:val="24"/>
        </w:rPr>
        <w:t>6.付款方式：</w:t>
      </w:r>
    </w:p>
    <w:p w14:paraId="10C784C9">
      <w:pPr>
        <w:spacing w:line="360" w:lineRule="auto"/>
        <w:ind w:firstLine="240" w:firstLineChars="100"/>
        <w:rPr>
          <w:rFonts w:hint="eastAsia" w:ascii="宋体" w:hAnsi="宋体"/>
          <w:sz w:val="24"/>
        </w:rPr>
      </w:pPr>
      <w:r>
        <w:rPr>
          <w:rFonts w:hint="eastAsia" w:ascii="宋体" w:hAnsi="宋体"/>
          <w:sz w:val="24"/>
        </w:rPr>
        <w:t>6.1．合同签订后，设备交付，使用运行正常，验收合格之后，院方向供应商支付合同总价的</w:t>
      </w:r>
      <w:r>
        <w:rPr>
          <w:rFonts w:hint="eastAsia" w:ascii="宋体" w:hAnsi="宋体"/>
          <w:b/>
          <w:bCs/>
          <w:color w:val="FF0000"/>
          <w:sz w:val="24"/>
        </w:rPr>
        <w:t>95%</w:t>
      </w:r>
      <w:r>
        <w:rPr>
          <w:rFonts w:hint="eastAsia" w:ascii="宋体" w:hAnsi="宋体"/>
          <w:sz w:val="24"/>
        </w:rPr>
        <w:t>货款。</w:t>
      </w:r>
    </w:p>
    <w:p w14:paraId="3E9080BB">
      <w:pPr>
        <w:spacing w:line="360" w:lineRule="auto"/>
        <w:ind w:firstLine="240" w:firstLineChars="100"/>
      </w:pPr>
      <w:r>
        <w:rPr>
          <w:rFonts w:hint="eastAsia" w:ascii="宋体" w:hAnsi="宋体"/>
          <w:sz w:val="24"/>
        </w:rPr>
        <w:t>6.2．余下的</w:t>
      </w:r>
      <w:r>
        <w:rPr>
          <w:rFonts w:hint="eastAsia" w:ascii="宋体" w:hAnsi="宋体"/>
          <w:b/>
          <w:bCs/>
          <w:color w:val="FF0000"/>
          <w:sz w:val="24"/>
        </w:rPr>
        <w:t>5%</w:t>
      </w:r>
      <w:r>
        <w:rPr>
          <w:rFonts w:hint="eastAsia" w:ascii="宋体" w:hAnsi="宋体"/>
          <w:sz w:val="24"/>
        </w:rPr>
        <w:t>货款于质保期满后，依据响应文件，所承诺的优惠条件、售后服务计划、培训计划等执行到位后，按规定程序办理支付手续，一次性付清。</w:t>
      </w:r>
    </w:p>
    <w:p w14:paraId="2AB0372B">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6" w:name="_Toc902"/>
      <w:bookmarkStart w:id="7" w:name="_Toc2479"/>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2" w:name="_Toc26111"/>
      <w:bookmarkStart w:id="13" w:name="_Toc11890"/>
      <w:bookmarkStart w:id="14" w:name="_Toc4559"/>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5" w:name="_Toc24403"/>
      <w:bookmarkStart w:id="16" w:name="_Toc569"/>
      <w:bookmarkStart w:id="17"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1" w:name="_Toc32668"/>
      <w:bookmarkStart w:id="22" w:name="_Toc31728"/>
      <w:bookmarkStart w:id="23" w:name="_Toc8953"/>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2"/>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2"/>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8"/>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1BF831C5">
      <w:pPr>
        <w:pStyle w:val="8"/>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highlight w:val="none"/>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highlight w:val="none"/>
              </w:rPr>
            </w:pPr>
          </w:p>
          <w:p w14:paraId="271FCC1D">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3D19D196">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37E26D8B">
            <w:pPr>
              <w:tabs>
                <w:tab w:val="left" w:pos="926"/>
                <w:tab w:val="left" w:pos="4335"/>
                <w:tab w:val="left" w:pos="4515"/>
                <w:tab w:val="left" w:pos="7227"/>
              </w:tabs>
              <w:ind w:firstLine="210" w:firstLineChars="100"/>
              <w:jc w:val="left"/>
              <w:rPr>
                <w:rFonts w:hint="eastAsia"/>
                <w:highlight w:val="none"/>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rPr>
                <w:highlight w:val="none"/>
              </w:rPr>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highlight w:val="none"/>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highlight w:val="none"/>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2"/>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49642274"/>
      <w:bookmarkStart w:id="38" w:name="_Toc337554757"/>
      <w:bookmarkStart w:id="39" w:name="_Toc337475887"/>
      <w:bookmarkStart w:id="40" w:name="_Toc320878673"/>
      <w:bookmarkStart w:id="41"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5" w:name="_Toc11982"/>
      <w:bookmarkStart w:id="46" w:name="_Toc23117"/>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2"/>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7" w:name="_Toc23816"/>
      <w:bookmarkStart w:id="48" w:name="_Toc2049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2"/>
        <w:rPr>
          <w:rFonts w:hint="eastAsia"/>
          <w:lang w:eastAsia="zh-CN"/>
        </w:rPr>
      </w:pPr>
    </w:p>
    <w:p w14:paraId="02CC1B4B">
      <w:pPr>
        <w:pStyle w:val="2"/>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49" w:name="_Toc4948"/>
      <w:bookmarkStart w:id="50" w:name="_Toc2922"/>
      <w:bookmarkStart w:id="51" w:name="_Toc30765"/>
      <w:bookmarkStart w:id="52" w:name="_Toc349642319"/>
      <w:bookmarkStart w:id="53" w:name="_Toc15867"/>
      <w:bookmarkStart w:id="54" w:name="_Toc337475928"/>
      <w:bookmarkStart w:id="55" w:name="_Toc320878714"/>
      <w:bookmarkStart w:id="56" w:name="_Toc337554798"/>
      <w:bookmarkStart w:id="57" w:name="_Toc304219331"/>
      <w:bookmarkStart w:id="58" w:name="_Toc12801"/>
      <w:bookmarkStart w:id="59" w:name="_Toc28583"/>
      <w:bookmarkStart w:id="60" w:name="_Toc10750"/>
      <w:bookmarkStart w:id="61" w:name="_Toc4599"/>
      <w:bookmarkStart w:id="62" w:name="_Toc29526"/>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2"/>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2"/>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CDE57F2"/>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1C181B"/>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AE33F3"/>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9D319A"/>
    <w:rsid w:val="45E93670"/>
    <w:rsid w:val="4636043E"/>
    <w:rsid w:val="464A3731"/>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151DD1"/>
    <w:rsid w:val="507E5A75"/>
    <w:rsid w:val="50A25299"/>
    <w:rsid w:val="50BD17FB"/>
    <w:rsid w:val="50EF2622"/>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A3B5C"/>
    <w:rsid w:val="624C7731"/>
    <w:rsid w:val="62AB7268"/>
    <w:rsid w:val="63CE3967"/>
    <w:rsid w:val="642175AF"/>
    <w:rsid w:val="642D4DED"/>
    <w:rsid w:val="648C1737"/>
    <w:rsid w:val="655706DD"/>
    <w:rsid w:val="65652535"/>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45D74"/>
    <w:rsid w:val="6F7C7E61"/>
    <w:rsid w:val="6FC32402"/>
    <w:rsid w:val="70322F14"/>
    <w:rsid w:val="706F1E6E"/>
    <w:rsid w:val="70F04FAA"/>
    <w:rsid w:val="71220F0F"/>
    <w:rsid w:val="716A72EA"/>
    <w:rsid w:val="718D686E"/>
    <w:rsid w:val="71A60213"/>
    <w:rsid w:val="723C58B5"/>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3"/>
    <w:autoRedefine/>
    <w:qFormat/>
    <w:uiPriority w:val="9"/>
    <w:rPr>
      <w:b/>
      <w:bCs/>
      <w:kern w:val="44"/>
      <w:sz w:val="44"/>
      <w:szCs w:val="44"/>
    </w:rPr>
  </w:style>
  <w:style w:type="character" w:customStyle="1" w:styleId="41">
    <w:name w:val="标题 2 Char"/>
    <w:basedOn w:val="34"/>
    <w:link w:val="2"/>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5566</Words>
  <Characters>5811</Characters>
  <Lines>315</Lines>
  <Paragraphs>88</Paragraphs>
  <TotalTime>0</TotalTime>
  <ScaleCrop>false</ScaleCrop>
  <LinksUpToDate>false</LinksUpToDate>
  <CharactersWithSpaces>6570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2025-03-17T07:07:09Z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70FFF6EA95D54DFD96EC3AC8B658CB2A_13</vt:lpwstr>
  </property>
  <property fmtid="{D5CDD505-2E9C-101B-9397-08002B2CF9AE}" pid="4" name="KSOTemplateDocerSaveRecord">
    <vt:lpwstr>eyJoZGlkIjoiMTUyMDA2ZjQ4N2YyNDAzZWJjY2U2NWNkZDY5ZDY4ZDAiLCJ1c2VySWQiOiI2OTIxMTkxNTcifQ==</vt:lpwstr>
  </property>
</Properties>
</file>