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none"/>
          <w:lang w:eastAsia="zh-CN"/>
        </w:rPr>
      </w:pPr>
      <w:r>
        <w:rPr>
          <w:rFonts w:hint="eastAsia" w:ascii="宋体" w:hAnsi="宋体" w:cs="宋体"/>
          <w:b/>
          <w:sz w:val="40"/>
          <w:szCs w:val="40"/>
        </w:rPr>
        <w:t>河南省胸科医院</w:t>
      </w:r>
      <w:r>
        <w:rPr>
          <w:rFonts w:hint="eastAsia" w:ascii="宋体" w:hAnsi="宋体" w:cs="宋体"/>
          <w:b/>
          <w:sz w:val="40"/>
          <w:szCs w:val="40"/>
          <w:highlight w:val="none"/>
          <w:lang w:eastAsia="zh-CN"/>
        </w:rPr>
        <w:t>床旁血滤机采购项目（三次）</w:t>
      </w:r>
    </w:p>
    <w:p w14:paraId="4198787D">
      <w:pPr>
        <w:jc w:val="center"/>
        <w:rPr>
          <w:rFonts w:ascii="宋体" w:hAnsi="宋体" w:cs="宋体"/>
          <w:b/>
          <w:color w:val="000000" w:themeColor="text1"/>
          <w:sz w:val="40"/>
          <w:szCs w:val="40"/>
          <w:u w:val="none"/>
          <w14:textFill>
            <w14:solidFill>
              <w14:schemeClr w14:val="tx1"/>
            </w14:solidFill>
          </w14:textFill>
        </w:rPr>
      </w:pP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w:t>
      </w:r>
      <w:r>
        <w:rPr>
          <w:rFonts w:hint="eastAsia" w:ascii="宋体" w:hAnsi="宋体" w:cs="宋体"/>
          <w:b/>
          <w:sz w:val="32"/>
          <w:highlight w:val="none"/>
          <w:lang w:eastAsia="zh-CN"/>
        </w:rPr>
        <w:t>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030</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5BCCF5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宋体" w:hAnsi="宋体" w:eastAsiaTheme="minorEastAsia" w:cstheme="minorBidi"/>
          <w:b/>
          <w:bCs/>
          <w:kern w:val="44"/>
          <w:sz w:val="28"/>
          <w:szCs w:val="28"/>
          <w:lang w:val="en-US" w:eastAsia="zh-CN" w:bidi="ar-SA"/>
        </w:rPr>
      </w:pPr>
      <w:r>
        <w:rPr>
          <w:rFonts w:hint="eastAsia" w:ascii="宋体" w:hAnsi="宋体" w:eastAsiaTheme="minorEastAsia" w:cstheme="minorBidi"/>
          <w:b/>
          <w:bCs/>
          <w:kern w:val="44"/>
          <w:sz w:val="28"/>
          <w:szCs w:val="28"/>
          <w:lang w:val="en-US" w:eastAsia="zh-CN" w:bidi="ar-SA"/>
        </w:rPr>
        <w:t>河南省胸科医院床旁血滤机采购项目</w:t>
      </w:r>
      <w:r>
        <w:rPr>
          <w:rFonts w:hint="eastAsia" w:eastAsiaTheme="minorEastAsia" w:cstheme="minorBidi"/>
          <w:b/>
          <w:bCs/>
          <w:kern w:val="44"/>
          <w:sz w:val="28"/>
          <w:szCs w:val="28"/>
          <w:lang w:val="en-US" w:eastAsia="zh-CN" w:bidi="ar-SA"/>
        </w:rPr>
        <w:t>（三次）</w:t>
      </w:r>
    </w:p>
    <w:p w14:paraId="11716E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default" w:asciiTheme="minorEastAsia" w:hAnsiTheme="minorEastAsia" w:eastAsiaTheme="minorEastAsia" w:cstheme="minorEastAsia"/>
          <w:color w:val="333333"/>
          <w:sz w:val="24"/>
          <w:szCs w:val="24"/>
        </w:rPr>
      </w:pPr>
      <w:r>
        <w:rPr>
          <w:rFonts w:hint="eastAsia" w:ascii="宋体" w:hAnsi="宋体" w:eastAsiaTheme="minorEastAsia" w:cstheme="minorBidi"/>
          <w:b/>
          <w:bCs/>
          <w:kern w:val="44"/>
          <w:sz w:val="28"/>
          <w:szCs w:val="28"/>
          <w:lang w:val="en-US" w:eastAsia="zh-CN" w:bidi="ar-SA"/>
        </w:rPr>
        <w:t>公开议价公告</w:t>
      </w: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河南省胸科医院床旁血滤机采购项目（三次）</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采购床旁血滤机</w:t>
      </w:r>
      <w:r>
        <w:rPr>
          <w:rFonts w:hint="eastAsia" w:asciiTheme="minorEastAsia" w:hAnsiTheme="minorEastAsia" w:eastAsiaTheme="minorEastAsia" w:cstheme="minorEastAsia"/>
          <w:color w:val="333333"/>
          <w:sz w:val="24"/>
          <w:szCs w:val="24"/>
          <w:highlight w:val="none"/>
          <w:lang w:val="en-US" w:eastAsia="zh-CN"/>
        </w:rPr>
        <w:t>1台</w:t>
      </w:r>
      <w:r>
        <w:rPr>
          <w:rFonts w:hint="default" w:asciiTheme="minorEastAsia" w:hAnsiTheme="minorEastAsia" w:eastAsiaTheme="minorEastAsia" w:cstheme="minorEastAsia"/>
          <w:color w:val="333333"/>
          <w:sz w:val="24"/>
          <w:szCs w:val="24"/>
          <w:highlight w:val="none"/>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20</w:t>
      </w:r>
      <w:r>
        <w:rPr>
          <w:rFonts w:hint="default" w:asciiTheme="minorEastAsia" w:hAnsiTheme="minorEastAsia" w:eastAsiaTheme="minorEastAsia" w:cstheme="minorEastAsia"/>
          <w:color w:val="333333"/>
          <w:sz w:val="24"/>
          <w:szCs w:val="24"/>
          <w:highlight w:val="none"/>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w:t>
      </w:r>
      <w:r>
        <w:rPr>
          <w:rFonts w:hint="default" w:asciiTheme="minorEastAsia" w:hAnsiTheme="minorEastAsia" w:eastAsiaTheme="minorEastAsia" w:cstheme="minorEastAsia"/>
          <w:color w:val="333333"/>
          <w:sz w:val="24"/>
          <w:szCs w:val="24"/>
          <w:highlight w:val="none"/>
        </w:rPr>
        <w:t>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w:t>
      </w:r>
      <w:bookmarkStart w:id="67" w:name="_GoBack"/>
      <w:bookmarkEnd w:id="67"/>
      <w:r>
        <w:rPr>
          <w:rFonts w:hint="default" w:asciiTheme="minorEastAsia" w:hAnsiTheme="minorEastAsia" w:eastAsiaTheme="minorEastAsia" w:cstheme="minorEastAsia"/>
          <w:color w:val="333333"/>
          <w:sz w:val="24"/>
          <w:szCs w:val="24"/>
        </w:rPr>
        <w:t>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4D2847D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highlight w:val="none"/>
          <w:lang w:bidi="ar"/>
        </w:rPr>
      </w:pPr>
    </w:p>
    <w:p w14:paraId="71596BA1">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2BEB173B">
      <w:pPr>
        <w:numPr>
          <w:ilvl w:val="0"/>
          <w:numId w:val="0"/>
        </w:numPr>
        <w:spacing w:line="360" w:lineRule="auto"/>
        <w:rPr>
          <w:rFonts w:hint="eastAsia" w:ascii="宋体" w:hAnsi="宋体" w:cs="宋体"/>
          <w:b/>
          <w:bCs/>
          <w:color w:val="auto"/>
          <w:sz w:val="24"/>
          <w:szCs w:val="24"/>
          <w:lang w:eastAsia="zh-CN"/>
        </w:rPr>
      </w:pPr>
    </w:p>
    <w:p w14:paraId="3F595B18">
      <w:pPr>
        <w:numPr>
          <w:ilvl w:val="0"/>
          <w:numId w:val="0"/>
        </w:numPr>
        <w:spacing w:line="360" w:lineRule="auto"/>
        <w:rPr>
          <w:rFonts w:hint="eastAsia" w:ascii="宋体" w:hAnsi="宋体" w:cs="宋体"/>
          <w:b/>
          <w:bCs/>
          <w:color w:val="auto"/>
          <w:sz w:val="24"/>
          <w:szCs w:val="24"/>
          <w:lang w:eastAsia="zh-CN"/>
        </w:rPr>
      </w:pPr>
    </w:p>
    <w:p w14:paraId="39DD2127">
      <w:pPr>
        <w:numPr>
          <w:ilvl w:val="0"/>
          <w:numId w:val="2"/>
        </w:numPr>
        <w:spacing w:line="360" w:lineRule="auto"/>
        <w:rPr>
          <w:rFonts w:ascii="宋体" w:hAnsi="宋体" w:cs="宋体"/>
          <w:b/>
          <w:bCs/>
          <w:sz w:val="24"/>
        </w:rPr>
      </w:pPr>
      <w:r>
        <w:rPr>
          <w:rFonts w:hint="eastAsia" w:ascii="宋体" w:hAnsi="宋体" w:cs="宋体"/>
          <w:b/>
          <w:bCs/>
          <w:sz w:val="24"/>
        </w:rPr>
        <w:t>技术参数</w:t>
      </w:r>
    </w:p>
    <w:p w14:paraId="0404D585">
      <w:pPr>
        <w:widowControl/>
        <w:spacing w:line="360" w:lineRule="auto"/>
        <w:jc w:val="left"/>
        <w:rPr>
          <w:rFonts w:ascii="宋体" w:hAnsi="宋体" w:cs="宋体"/>
          <w:sz w:val="24"/>
        </w:rPr>
      </w:pPr>
      <w:r>
        <w:rPr>
          <w:rFonts w:hint="eastAsia" w:ascii="宋体" w:hAnsi="宋体" w:cs="宋体"/>
          <w:sz w:val="24"/>
        </w:rPr>
        <w:t>1.数量：1台。</w:t>
      </w:r>
    </w:p>
    <w:p w14:paraId="60E90C95">
      <w:pPr>
        <w:widowControl/>
        <w:spacing w:line="360" w:lineRule="auto"/>
        <w:jc w:val="left"/>
        <w:rPr>
          <w:rFonts w:ascii="宋体" w:hAnsi="宋体" w:cs="宋体"/>
          <w:sz w:val="24"/>
        </w:rPr>
      </w:pPr>
      <w:r>
        <w:rPr>
          <w:rFonts w:hint="eastAsia" w:ascii="宋体" w:hAnsi="宋体" w:cs="宋体"/>
          <w:sz w:val="24"/>
        </w:rPr>
        <w:t>2.可进行成人、儿童、婴幼儿的治疗（有低体重患儿治疗配套，体外循环血量要≤93ml）。</w:t>
      </w:r>
    </w:p>
    <w:p w14:paraId="6DEA32A8">
      <w:pPr>
        <w:widowControl/>
        <w:spacing w:line="360" w:lineRule="auto"/>
        <w:jc w:val="left"/>
        <w:rPr>
          <w:rFonts w:ascii="宋体" w:hAnsi="宋体" w:cs="宋体"/>
          <w:sz w:val="24"/>
        </w:rPr>
      </w:pPr>
      <w:r>
        <w:rPr>
          <w:rFonts w:hint="eastAsia" w:ascii="宋体" w:hAnsi="宋体" w:cs="宋体"/>
          <w:sz w:val="24"/>
        </w:rPr>
        <w:t>3.有儿童专用耗材，CRRT治疗、血液灌流、血浆置换等治疗模式下可用。</w:t>
      </w:r>
    </w:p>
    <w:p w14:paraId="3D1D37DC">
      <w:pPr>
        <w:widowControl/>
        <w:spacing w:line="360" w:lineRule="auto"/>
        <w:jc w:val="left"/>
        <w:rPr>
          <w:rFonts w:ascii="宋体" w:hAnsi="宋体" w:cs="宋体"/>
          <w:sz w:val="24"/>
        </w:rPr>
      </w:pPr>
      <w:r>
        <w:rPr>
          <w:rFonts w:hint="eastAsia" w:ascii="宋体" w:hAnsi="宋体" w:cs="宋体"/>
          <w:sz w:val="24"/>
        </w:rPr>
        <w:t>4.具有中文版操作系统，方便医护人员操作。</w:t>
      </w:r>
    </w:p>
    <w:p w14:paraId="0AF33D3E">
      <w:pPr>
        <w:widowControl/>
        <w:spacing w:line="360" w:lineRule="auto"/>
        <w:jc w:val="left"/>
        <w:rPr>
          <w:rFonts w:ascii="宋体" w:hAnsi="宋体" w:cs="宋体"/>
          <w:sz w:val="24"/>
        </w:rPr>
      </w:pPr>
      <w:r>
        <w:rPr>
          <w:rFonts w:hint="eastAsia" w:ascii="宋体" w:hAnsi="宋体" w:cs="宋体"/>
          <w:sz w:val="24"/>
        </w:rPr>
        <w:t>5.具有≥4个泵。</w:t>
      </w:r>
    </w:p>
    <w:p w14:paraId="2EB2DC68">
      <w:pPr>
        <w:widowControl/>
        <w:spacing w:line="360" w:lineRule="auto"/>
        <w:jc w:val="left"/>
        <w:rPr>
          <w:rFonts w:ascii="宋体" w:hAnsi="宋体" w:cs="宋体"/>
          <w:sz w:val="24"/>
        </w:rPr>
      </w:pPr>
      <w:r>
        <w:rPr>
          <w:rFonts w:hint="eastAsia" w:ascii="宋体" w:hAnsi="宋体" w:cs="宋体"/>
          <w:sz w:val="24"/>
        </w:rPr>
        <w:t>6.可进行前稀释、后稀释、在CVVHDF模式下可前后同时稀释治疗。</w:t>
      </w:r>
    </w:p>
    <w:p w14:paraId="185C525A">
      <w:pPr>
        <w:widowControl/>
        <w:spacing w:line="360" w:lineRule="auto"/>
        <w:jc w:val="left"/>
        <w:rPr>
          <w:rFonts w:ascii="宋体" w:hAnsi="宋体" w:cs="宋体"/>
          <w:sz w:val="24"/>
        </w:rPr>
      </w:pPr>
      <w:r>
        <w:rPr>
          <w:rFonts w:hint="eastAsia" w:ascii="宋体" w:hAnsi="宋体" w:cs="宋体"/>
          <w:sz w:val="24"/>
        </w:rPr>
        <w:t>7.使用非侵入式的压力传感器，和血液不接触，减少血液污染的机会。</w:t>
      </w:r>
    </w:p>
    <w:p w14:paraId="3A4A13B6">
      <w:pPr>
        <w:widowControl/>
        <w:spacing w:line="360" w:lineRule="auto"/>
        <w:jc w:val="left"/>
        <w:rPr>
          <w:rFonts w:ascii="宋体" w:hAnsi="宋体" w:cs="宋体"/>
          <w:sz w:val="24"/>
        </w:rPr>
      </w:pPr>
      <w:r>
        <w:rPr>
          <w:rFonts w:hint="eastAsia" w:ascii="宋体" w:hAnsi="宋体" w:cs="宋体"/>
          <w:sz w:val="24"/>
        </w:rPr>
        <w:t>8.拥有≥2个夹管阀，治疗模式转换一键触控，不需要拆卸耗材及暂停治疗。</w:t>
      </w:r>
    </w:p>
    <w:p w14:paraId="1C22FADD">
      <w:pPr>
        <w:pStyle w:val="157"/>
        <w:spacing w:line="360" w:lineRule="auto"/>
        <w:rPr>
          <w:rFonts w:ascii="宋体" w:hAnsi="宋体" w:cs="宋体"/>
          <w:b w:val="0"/>
          <w:sz w:val="24"/>
          <w:szCs w:val="24"/>
        </w:rPr>
      </w:pPr>
      <w:r>
        <w:rPr>
          <w:rFonts w:hint="eastAsia" w:ascii="宋体" w:hAnsi="宋体" w:cs="宋体"/>
          <w:b w:val="0"/>
          <w:sz w:val="24"/>
          <w:szCs w:val="24"/>
        </w:rPr>
        <w:t>9.血泵流速：10ml/min-450ml/min。</w:t>
      </w:r>
    </w:p>
    <w:p w14:paraId="088A3E1D">
      <w:pPr>
        <w:pStyle w:val="157"/>
        <w:spacing w:line="360" w:lineRule="auto"/>
        <w:rPr>
          <w:rFonts w:ascii="宋体" w:hAnsi="宋体" w:cs="宋体"/>
          <w:b w:val="0"/>
          <w:sz w:val="24"/>
          <w:szCs w:val="24"/>
        </w:rPr>
      </w:pPr>
      <w:r>
        <w:rPr>
          <w:rFonts w:hint="eastAsia" w:ascii="宋体" w:hAnsi="宋体" w:cs="宋体"/>
          <w:b w:val="0"/>
          <w:sz w:val="24"/>
          <w:szCs w:val="24"/>
        </w:rPr>
        <w:t>10.透析液流速范围：0-8000ml/h。</w:t>
      </w:r>
    </w:p>
    <w:p w14:paraId="4ADBDB8E">
      <w:pPr>
        <w:pStyle w:val="157"/>
        <w:spacing w:line="360" w:lineRule="auto"/>
        <w:rPr>
          <w:rFonts w:ascii="宋体" w:hAnsi="宋体" w:cs="宋体"/>
          <w:b w:val="0"/>
          <w:sz w:val="24"/>
          <w:szCs w:val="24"/>
        </w:rPr>
      </w:pPr>
      <w:r>
        <w:rPr>
          <w:rFonts w:hint="eastAsia" w:ascii="宋体" w:hAnsi="宋体" w:cs="宋体"/>
          <w:b w:val="0"/>
          <w:sz w:val="24"/>
          <w:szCs w:val="24"/>
        </w:rPr>
        <w:t>11.患者脱水速率：0-1800 ml/h。</w:t>
      </w:r>
    </w:p>
    <w:p w14:paraId="335FC4A4">
      <w:pPr>
        <w:pStyle w:val="157"/>
        <w:spacing w:line="360" w:lineRule="auto"/>
        <w:rPr>
          <w:rFonts w:ascii="宋体" w:hAnsi="宋体" w:cs="宋体"/>
          <w:b w:val="0"/>
          <w:sz w:val="24"/>
          <w:szCs w:val="24"/>
        </w:rPr>
      </w:pPr>
      <w:r>
        <w:rPr>
          <w:rFonts w:hint="eastAsia" w:ascii="宋体" w:hAnsi="宋体" w:cs="宋体"/>
          <w:b w:val="0"/>
          <w:sz w:val="24"/>
          <w:szCs w:val="24"/>
        </w:rPr>
        <w:t>12.监测范围：</w:t>
      </w:r>
    </w:p>
    <w:p w14:paraId="4815529B">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动脉压：-250 - +450mmHg，精确度：±15 mmHg；</w:t>
      </w:r>
    </w:p>
    <w:p w14:paraId="486EEC92">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静脉压：-50 - +350mmHg，精确度：±5 mmHg；</w:t>
      </w:r>
    </w:p>
    <w:p w14:paraId="4C1F32A1">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滤器压：-50 - +450mmHg，精确度：±15 mmHg ；</w:t>
      </w:r>
    </w:p>
    <w:p w14:paraId="56B3A341">
      <w:pPr>
        <w:pStyle w:val="157"/>
        <w:spacing w:line="360" w:lineRule="auto"/>
        <w:ind w:firstLine="240" w:firstLineChars="100"/>
        <w:rPr>
          <w:rFonts w:ascii="宋体" w:hAnsi="宋体" w:cs="宋体"/>
          <w:b w:val="0"/>
          <w:sz w:val="24"/>
          <w:szCs w:val="24"/>
        </w:rPr>
      </w:pPr>
      <w:r>
        <w:rPr>
          <w:rFonts w:hint="eastAsia" w:ascii="宋体" w:hAnsi="宋体" w:cs="宋体"/>
          <w:b w:val="0"/>
          <w:sz w:val="24"/>
          <w:szCs w:val="24"/>
        </w:rPr>
        <w:t>废液压：-350 - +400 mmHg，精确度：±15 mmHg。</w:t>
      </w:r>
    </w:p>
    <w:p w14:paraId="45C8D5E0">
      <w:pPr>
        <w:pStyle w:val="157"/>
        <w:spacing w:line="360" w:lineRule="auto"/>
        <w:rPr>
          <w:rFonts w:ascii="宋体" w:hAnsi="宋体" w:cs="宋体"/>
          <w:b w:val="0"/>
          <w:sz w:val="24"/>
          <w:szCs w:val="24"/>
        </w:rPr>
      </w:pPr>
      <w:r>
        <w:rPr>
          <w:rFonts w:hint="eastAsia" w:ascii="宋体" w:hAnsi="宋体" w:cs="宋体"/>
          <w:b w:val="0"/>
          <w:sz w:val="24"/>
          <w:szCs w:val="24"/>
        </w:rPr>
        <w:t>13.具有恒定的加温器，温度控制范围：33℃-43℃ 。</w:t>
      </w:r>
    </w:p>
    <w:p w14:paraId="38F274A4">
      <w:pPr>
        <w:pStyle w:val="157"/>
        <w:spacing w:line="360" w:lineRule="auto"/>
        <w:rPr>
          <w:rFonts w:ascii="宋体" w:hAnsi="宋体" w:cs="宋体"/>
          <w:b w:val="0"/>
          <w:sz w:val="24"/>
          <w:szCs w:val="24"/>
        </w:rPr>
      </w:pPr>
      <w:r>
        <w:rPr>
          <w:rFonts w:hint="eastAsia" w:ascii="宋体" w:hAnsi="宋体" w:cs="宋体"/>
          <w:b w:val="0"/>
          <w:sz w:val="24"/>
          <w:szCs w:val="24"/>
        </w:rPr>
        <w:t>14.具有自动预冲系统：自动完成膜内、膜外预冲 。</w:t>
      </w:r>
    </w:p>
    <w:p w14:paraId="06B2A602">
      <w:pPr>
        <w:pStyle w:val="157"/>
        <w:spacing w:line="360" w:lineRule="auto"/>
        <w:rPr>
          <w:rFonts w:ascii="宋体" w:hAnsi="宋体" w:cs="宋体"/>
          <w:b w:val="0"/>
          <w:sz w:val="24"/>
          <w:szCs w:val="24"/>
        </w:rPr>
      </w:pPr>
      <w:r>
        <w:rPr>
          <w:rFonts w:hint="eastAsia" w:ascii="宋体" w:hAnsi="宋体" w:cs="宋体"/>
          <w:b w:val="0"/>
          <w:sz w:val="24"/>
          <w:szCs w:val="24"/>
        </w:rPr>
        <w:t>15.具有≥4个独立电子秤, 秤量范围0-11kg。</w:t>
      </w:r>
    </w:p>
    <w:p w14:paraId="2462C8C8">
      <w:pPr>
        <w:pStyle w:val="157"/>
        <w:spacing w:line="360" w:lineRule="auto"/>
        <w:rPr>
          <w:rFonts w:ascii="宋体" w:hAnsi="宋体" w:cs="宋体"/>
          <w:b w:val="0"/>
          <w:sz w:val="24"/>
          <w:szCs w:val="24"/>
        </w:rPr>
      </w:pPr>
      <w:r>
        <w:rPr>
          <w:rFonts w:hint="eastAsia" w:ascii="宋体" w:hAnsi="宋体" w:cs="宋体"/>
          <w:b w:val="0"/>
          <w:sz w:val="24"/>
          <w:szCs w:val="24"/>
        </w:rPr>
        <w:t>16.工作电源：230v ±10％，50Hz；电源故障时备用电源可使用至少10分钟以上(所有泵都运转)</w:t>
      </w:r>
    </w:p>
    <w:p w14:paraId="219EA933">
      <w:pPr>
        <w:pStyle w:val="157"/>
        <w:spacing w:line="360" w:lineRule="auto"/>
        <w:rPr>
          <w:rFonts w:ascii="宋体" w:hAnsi="宋体" w:cs="宋体"/>
          <w:b w:val="0"/>
          <w:sz w:val="24"/>
          <w:szCs w:val="24"/>
        </w:rPr>
      </w:pPr>
      <w:r>
        <w:rPr>
          <w:rFonts w:hint="eastAsia" w:ascii="宋体" w:hAnsi="宋体" w:cs="宋体"/>
          <w:b w:val="0"/>
          <w:sz w:val="24"/>
          <w:szCs w:val="24"/>
        </w:rPr>
        <w:t>17.治疗记录：≥90小时患者治疗参数存储。</w:t>
      </w:r>
    </w:p>
    <w:p w14:paraId="2DB438B9">
      <w:pPr>
        <w:pStyle w:val="157"/>
        <w:spacing w:line="360" w:lineRule="auto"/>
        <w:rPr>
          <w:rFonts w:ascii="宋体" w:hAnsi="宋体" w:cs="宋体"/>
          <w:b w:val="0"/>
          <w:sz w:val="24"/>
          <w:szCs w:val="24"/>
        </w:rPr>
      </w:pPr>
      <w:r>
        <w:rPr>
          <w:rFonts w:hint="eastAsia" w:ascii="宋体" w:hAnsi="宋体" w:cs="宋体"/>
          <w:b w:val="0"/>
          <w:sz w:val="24"/>
          <w:szCs w:val="24"/>
        </w:rPr>
        <w:t>18.肝素泵注射器使用型号20</w:t>
      </w:r>
      <w:r>
        <w:rPr>
          <w:rFonts w:hint="eastAsia" w:ascii="宋体" w:hAnsi="宋体" w:cs="宋体"/>
          <w:b w:val="0"/>
          <w:sz w:val="24"/>
          <w:szCs w:val="24"/>
          <w:lang w:val="en-US" w:eastAsia="zh-CN"/>
        </w:rPr>
        <w:t>-</w:t>
      </w:r>
      <w:r>
        <w:rPr>
          <w:rFonts w:hint="eastAsia" w:ascii="宋体" w:hAnsi="宋体" w:cs="宋体"/>
          <w:b w:val="0"/>
          <w:sz w:val="24"/>
          <w:szCs w:val="24"/>
        </w:rPr>
        <w:t>50ml可选；在进行枸橼酸抗凝治疗时，肝素泵可作为钙泵直接进行自动化补钙。</w:t>
      </w:r>
    </w:p>
    <w:p w14:paraId="4EF4F705">
      <w:pPr>
        <w:pStyle w:val="157"/>
        <w:spacing w:line="360" w:lineRule="auto"/>
        <w:rPr>
          <w:rFonts w:ascii="宋体" w:hAnsi="宋体" w:cs="宋体"/>
          <w:b w:val="0"/>
          <w:sz w:val="24"/>
          <w:szCs w:val="24"/>
        </w:rPr>
      </w:pPr>
      <w:r>
        <w:rPr>
          <w:rFonts w:hint="eastAsia" w:ascii="宋体" w:hAnsi="宋体" w:cs="宋体"/>
          <w:b w:val="0"/>
          <w:sz w:val="24"/>
          <w:szCs w:val="24"/>
        </w:rPr>
        <w:t>19.可以实现枸橼酸抗凝，在使用枸橼酸盐进行枸橼酸抗凝时，不受模式限制，全系耗材支持枸橼酸抗凝疗法。</w:t>
      </w:r>
    </w:p>
    <w:p w14:paraId="1EAA1A50">
      <w:pPr>
        <w:pStyle w:val="157"/>
        <w:spacing w:line="360" w:lineRule="auto"/>
        <w:rPr>
          <w:rFonts w:ascii="宋体" w:hAnsi="宋体" w:cs="宋体"/>
          <w:b w:val="0"/>
          <w:sz w:val="24"/>
          <w:szCs w:val="24"/>
        </w:rPr>
      </w:pPr>
      <w:r>
        <w:rPr>
          <w:rFonts w:hint="eastAsia" w:ascii="宋体" w:hAnsi="宋体" w:cs="宋体"/>
          <w:b w:val="0"/>
          <w:sz w:val="24"/>
          <w:szCs w:val="24"/>
        </w:rPr>
        <w:t>20.自动回血，可预设回血量，回血速度，一键触控。</w:t>
      </w:r>
    </w:p>
    <w:p w14:paraId="68D13D5B">
      <w:pPr>
        <w:pStyle w:val="157"/>
        <w:spacing w:line="360" w:lineRule="auto"/>
        <w:rPr>
          <w:rFonts w:ascii="宋体" w:hAnsi="宋体" w:cs="宋体"/>
          <w:b w:val="0"/>
          <w:sz w:val="24"/>
          <w:szCs w:val="24"/>
        </w:rPr>
      </w:pPr>
      <w:r>
        <w:rPr>
          <w:rFonts w:hint="eastAsia" w:ascii="宋体" w:hAnsi="宋体" w:cs="宋体"/>
          <w:b w:val="0"/>
          <w:sz w:val="24"/>
          <w:szCs w:val="24"/>
        </w:rPr>
        <w:t>21.可独立完成连续静静脉血液滤过(CVVH)、连续静静脉血液透析(CVVHD)、连续静静脉血液透析滤过(CVVHDF)、缓慢持续超滤(SUCF)、血液灌流/吸附(HP)、血浆分离/置换(TPE)等治疗模式；支持儿童治疗模式。</w:t>
      </w:r>
    </w:p>
    <w:p w14:paraId="5A341985">
      <w:pPr>
        <w:pStyle w:val="157"/>
        <w:spacing w:line="360" w:lineRule="auto"/>
        <w:rPr>
          <w:rFonts w:ascii="宋体" w:hAnsi="宋体" w:cs="宋体"/>
          <w:b w:val="0"/>
          <w:sz w:val="24"/>
          <w:szCs w:val="24"/>
        </w:rPr>
      </w:pPr>
      <w:r>
        <w:rPr>
          <w:rFonts w:hint="eastAsia" w:ascii="宋体" w:hAnsi="宋体" w:cs="宋体"/>
          <w:b w:val="0"/>
          <w:sz w:val="24"/>
          <w:szCs w:val="24"/>
        </w:rPr>
        <w:t>22.具有智能检测、报警功能，具有自动化操作功能，具有简单、易操作的人机交互界面（故障自动报告、自动操作培训等）。</w:t>
      </w:r>
    </w:p>
    <w:p w14:paraId="71FCE310">
      <w:pPr>
        <w:pStyle w:val="157"/>
        <w:spacing w:line="360" w:lineRule="auto"/>
        <w:rPr>
          <w:rFonts w:ascii="宋体" w:hAnsi="宋体" w:cs="宋体"/>
          <w:b w:val="0"/>
          <w:sz w:val="24"/>
          <w:szCs w:val="24"/>
        </w:rPr>
      </w:pPr>
      <w:r>
        <w:rPr>
          <w:rFonts w:hint="eastAsia" w:ascii="宋体" w:hAnsi="宋体" w:cs="宋体"/>
          <w:b w:val="0"/>
          <w:sz w:val="24"/>
          <w:szCs w:val="24"/>
        </w:rPr>
        <w:t>23.配置清单：无</w:t>
      </w:r>
    </w:p>
    <w:p w14:paraId="28C47699">
      <w:pPr>
        <w:spacing w:line="360" w:lineRule="auto"/>
        <w:rPr>
          <w:rFonts w:ascii="宋体" w:hAnsi="宋体"/>
          <w:b/>
          <w:bCs/>
          <w:sz w:val="24"/>
        </w:rPr>
      </w:pPr>
    </w:p>
    <w:p w14:paraId="38427CD1">
      <w:pPr>
        <w:pStyle w:val="157"/>
      </w:pPr>
    </w:p>
    <w:p w14:paraId="51D3A2C0">
      <w:pPr>
        <w:spacing w:line="360" w:lineRule="auto"/>
        <w:rPr>
          <w:rFonts w:ascii="宋体" w:hAnsi="宋体"/>
          <w:b/>
          <w:bCs/>
          <w:sz w:val="24"/>
        </w:rPr>
      </w:pPr>
      <w:r>
        <w:rPr>
          <w:rFonts w:hint="eastAsia" w:ascii="宋体" w:hAnsi="宋体"/>
          <w:b/>
          <w:bCs/>
          <w:sz w:val="24"/>
        </w:rPr>
        <w:t>二、商务要求</w:t>
      </w:r>
    </w:p>
    <w:p w14:paraId="0BFBEBEC">
      <w:pPr>
        <w:spacing w:line="360" w:lineRule="auto"/>
        <w:rPr>
          <w:rFonts w:ascii="宋体" w:hAnsi="宋体" w:cs="宋体"/>
          <w:sz w:val="24"/>
        </w:rPr>
      </w:pPr>
      <w:r>
        <w:rPr>
          <w:rFonts w:hint="eastAsia" w:ascii="宋体" w:hAnsi="宋体" w:cs="宋体"/>
          <w:sz w:val="24"/>
        </w:rPr>
        <w:t>1.特定资格</w:t>
      </w:r>
    </w:p>
    <w:p w14:paraId="7DB6F179">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600B6148">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51B20237">
      <w:pPr>
        <w:spacing w:line="360" w:lineRule="auto"/>
        <w:rPr>
          <w:rFonts w:ascii="宋体" w:hAnsi="宋体" w:cs="宋体"/>
          <w:b w:val="0"/>
          <w:bCs w:val="0"/>
          <w:color w:val="auto"/>
          <w:sz w:val="24"/>
        </w:rPr>
      </w:pPr>
      <w:r>
        <w:rPr>
          <w:rFonts w:hint="eastAsia" w:ascii="宋体" w:hAnsi="宋体" w:cs="宋体"/>
          <w:sz w:val="24"/>
        </w:rPr>
        <w:t>2.到货期：合同</w:t>
      </w:r>
      <w:r>
        <w:rPr>
          <w:rFonts w:hint="eastAsia" w:ascii="宋体" w:hAnsi="宋体" w:cs="宋体"/>
          <w:b w:val="0"/>
          <w:bCs w:val="0"/>
          <w:color w:val="auto"/>
          <w:sz w:val="24"/>
        </w:rPr>
        <w:t>签订后30日历天。</w:t>
      </w:r>
    </w:p>
    <w:p w14:paraId="64146DFF">
      <w:pPr>
        <w:spacing w:line="360" w:lineRule="auto"/>
        <w:rPr>
          <w:rFonts w:ascii="宋体" w:hAnsi="宋体" w:cs="宋体"/>
          <w:b w:val="0"/>
          <w:bCs w:val="0"/>
          <w:color w:val="auto"/>
          <w:sz w:val="24"/>
        </w:rPr>
      </w:pPr>
      <w:r>
        <w:rPr>
          <w:rFonts w:hint="eastAsia" w:ascii="宋体" w:hAnsi="宋体" w:cs="宋体"/>
          <w:b w:val="0"/>
          <w:bCs w:val="0"/>
          <w:color w:val="auto"/>
          <w:sz w:val="24"/>
        </w:rPr>
        <w:t>3.是否接受进口产品：是</w:t>
      </w:r>
    </w:p>
    <w:p w14:paraId="5F0C9D68">
      <w:pPr>
        <w:spacing w:line="360" w:lineRule="auto"/>
        <w:rPr>
          <w:rFonts w:ascii="宋体" w:hAnsi="宋体" w:cs="宋体"/>
          <w:b w:val="0"/>
          <w:bCs w:val="0"/>
          <w:color w:val="auto"/>
          <w:sz w:val="24"/>
        </w:rPr>
      </w:pPr>
      <w:r>
        <w:rPr>
          <w:rFonts w:hint="eastAsia" w:ascii="宋体" w:hAnsi="宋体" w:cs="宋体"/>
          <w:b w:val="0"/>
          <w:bCs w:val="0"/>
          <w:color w:val="auto"/>
          <w:sz w:val="24"/>
        </w:rPr>
        <w:t>4.质保期：≥</w:t>
      </w:r>
      <w:r>
        <w:rPr>
          <w:rFonts w:ascii="宋体" w:hAnsi="宋体" w:cs="宋体"/>
          <w:b w:val="0"/>
          <w:bCs w:val="0"/>
          <w:color w:val="auto"/>
          <w:sz w:val="24"/>
        </w:rPr>
        <w:t>3</w:t>
      </w:r>
      <w:r>
        <w:rPr>
          <w:rFonts w:hint="eastAsia" w:ascii="宋体" w:hAnsi="宋体" w:cs="宋体"/>
          <w:b w:val="0"/>
          <w:bCs w:val="0"/>
          <w:color w:val="auto"/>
          <w:sz w:val="24"/>
        </w:rPr>
        <w:t>年（供应商需明确具体年数）。</w:t>
      </w:r>
    </w:p>
    <w:p w14:paraId="7FA5D6E4">
      <w:pPr>
        <w:spacing w:line="360" w:lineRule="auto"/>
        <w:rPr>
          <w:rFonts w:ascii="宋体" w:hAnsi="宋体" w:cs="宋体"/>
          <w:b w:val="0"/>
          <w:bCs w:val="0"/>
          <w:color w:val="auto"/>
          <w:sz w:val="24"/>
        </w:rPr>
      </w:pPr>
      <w:r>
        <w:rPr>
          <w:rFonts w:hint="eastAsia" w:ascii="宋体" w:hAnsi="宋体" w:cs="宋体"/>
          <w:b w:val="0"/>
          <w:bCs w:val="0"/>
          <w:color w:val="auto"/>
          <w:sz w:val="24"/>
        </w:rPr>
        <w:t>5.履约保证金：无</w:t>
      </w:r>
    </w:p>
    <w:p w14:paraId="3FFD0B7E">
      <w:pPr>
        <w:spacing w:line="360" w:lineRule="auto"/>
        <w:rPr>
          <w:rFonts w:ascii="宋体" w:hAnsi="宋体" w:cs="宋体"/>
          <w:b w:val="0"/>
          <w:bCs w:val="0"/>
          <w:color w:val="auto"/>
          <w:sz w:val="24"/>
        </w:rPr>
      </w:pPr>
      <w:r>
        <w:rPr>
          <w:rFonts w:hint="eastAsia" w:ascii="宋体" w:hAnsi="宋体" w:cs="宋体"/>
          <w:b w:val="0"/>
          <w:bCs w:val="0"/>
          <w:color w:val="auto"/>
          <w:sz w:val="24"/>
        </w:rPr>
        <w:t>6.付款方式：</w:t>
      </w:r>
    </w:p>
    <w:p w14:paraId="21DEAF45">
      <w:pPr>
        <w:spacing w:line="360" w:lineRule="auto"/>
        <w:ind w:firstLine="240" w:firstLineChars="100"/>
        <w:rPr>
          <w:rFonts w:ascii="宋体" w:hAnsi="宋体" w:cs="宋体"/>
          <w:b w:val="0"/>
          <w:bCs w:val="0"/>
          <w:color w:val="auto"/>
          <w:sz w:val="24"/>
        </w:rPr>
      </w:pPr>
      <w:r>
        <w:rPr>
          <w:rFonts w:hint="eastAsia" w:ascii="宋体" w:hAnsi="宋体" w:cs="宋体"/>
          <w:b w:val="0"/>
          <w:bCs w:val="0"/>
          <w:color w:val="auto"/>
          <w:sz w:val="24"/>
        </w:rPr>
        <w:t>6.1．合同签订后，设备交付，使用运行正常并验收合格之后，院方向供应商支付合同总价的</w:t>
      </w:r>
      <w:r>
        <w:rPr>
          <w:rFonts w:hint="default" w:ascii="Arial" w:hAnsi="Arial" w:cs="Arial"/>
          <w:b w:val="0"/>
          <w:bCs w:val="0"/>
          <w:color w:val="auto"/>
          <w:sz w:val="24"/>
        </w:rPr>
        <w:t>95%</w:t>
      </w:r>
      <w:r>
        <w:rPr>
          <w:rFonts w:hint="eastAsia" w:ascii="宋体" w:hAnsi="宋体" w:cs="宋体"/>
          <w:b w:val="0"/>
          <w:bCs w:val="0"/>
          <w:color w:val="auto"/>
          <w:sz w:val="24"/>
        </w:rPr>
        <w:t>货款。</w:t>
      </w:r>
      <w:r>
        <w:rPr>
          <w:rFonts w:hint="eastAsia" w:ascii="宋体" w:hAnsi="宋体" w:cs="宋体"/>
          <w:b w:val="0"/>
          <w:bCs w:val="0"/>
          <w:color w:val="auto"/>
          <w:sz w:val="24"/>
          <w:lang w:val="en-US" w:eastAsia="zh-CN"/>
        </w:rPr>
        <w:t>成交人在接收货款前，应向采购人开具正规发票。</w:t>
      </w:r>
    </w:p>
    <w:p w14:paraId="4E74B45E">
      <w:pPr>
        <w:spacing w:line="360" w:lineRule="auto"/>
        <w:ind w:firstLine="240" w:firstLineChars="100"/>
      </w:pPr>
      <w:r>
        <w:rPr>
          <w:rFonts w:hint="eastAsia" w:ascii="宋体" w:hAnsi="宋体" w:cs="宋体"/>
          <w:b w:val="0"/>
          <w:bCs w:val="0"/>
          <w:color w:val="auto"/>
          <w:sz w:val="24"/>
        </w:rPr>
        <w:t>6.2．余下的</w:t>
      </w:r>
      <w:r>
        <w:rPr>
          <w:rFonts w:hint="default" w:ascii="Arial" w:hAnsi="Arial" w:cs="Arial"/>
          <w:b w:val="0"/>
          <w:bCs w:val="0"/>
          <w:color w:val="auto"/>
          <w:sz w:val="24"/>
        </w:rPr>
        <w:t>5%</w:t>
      </w:r>
      <w:r>
        <w:rPr>
          <w:rFonts w:hint="eastAsia" w:ascii="宋体" w:hAnsi="宋体" w:cs="宋体"/>
          <w:b w:val="0"/>
          <w:bCs w:val="0"/>
          <w:color w:val="auto"/>
          <w:sz w:val="24"/>
        </w:rPr>
        <w:t>货款于质保期满后，依据</w:t>
      </w:r>
      <w:r>
        <w:rPr>
          <w:rFonts w:hint="eastAsia" w:ascii="宋体" w:hAnsi="宋体" w:cs="宋体"/>
          <w:b w:val="0"/>
          <w:bCs w:val="0"/>
          <w:color w:val="auto"/>
          <w:sz w:val="24"/>
          <w:lang w:val="en-US" w:eastAsia="zh-CN"/>
        </w:rPr>
        <w:t>响应</w:t>
      </w:r>
      <w:r>
        <w:rPr>
          <w:rFonts w:hint="eastAsia" w:ascii="宋体" w:hAnsi="宋体" w:cs="宋体"/>
          <w:b w:val="0"/>
          <w:bCs w:val="0"/>
          <w:color w:val="auto"/>
          <w:sz w:val="24"/>
        </w:rPr>
        <w:t>文件所承诺的优惠条件、售后服务计划、培训计划等执行到位</w:t>
      </w:r>
      <w:r>
        <w:rPr>
          <w:rFonts w:hint="eastAsia" w:ascii="宋体" w:hAnsi="宋体" w:cs="宋体"/>
          <w:sz w:val="24"/>
        </w:rPr>
        <w:t>后，按规定程序办理支付手续，一次性付清。</w:t>
      </w:r>
    </w:p>
    <w:p w14:paraId="5A6F28AF">
      <w:pPr>
        <w:spacing w:line="360" w:lineRule="auto"/>
        <w:ind w:firstLine="240" w:firstLineChars="100"/>
        <w:rPr>
          <w:rFonts w:hint="eastAsia" w:ascii="宋体" w:hAnsi="宋体" w:eastAsia="宋体"/>
          <w:b w:val="0"/>
          <w:bCs w:val="0"/>
          <w:sz w:val="24"/>
          <w:szCs w:val="24"/>
          <w:lang w:val="en-US" w:eastAsia="zh-CN"/>
        </w:rPr>
      </w:pP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2479"/>
      <w:bookmarkStart w:id="7" w:name="_Toc902"/>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highlight w:val="none"/>
          <w:u w:val="single"/>
        </w:rPr>
        <w:t>）</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2700ACE5">
      <w:pPr>
        <w:spacing w:line="500" w:lineRule="exact"/>
        <w:rPr>
          <w:rFonts w:ascii="宋体" w:hAnsi="宋体"/>
          <w:sz w:val="24"/>
          <w:highlight w:val="none"/>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highlight w:val="none"/>
        </w:rPr>
      </w:pPr>
    </w:p>
    <w:p w14:paraId="25368161">
      <w:pPr>
        <w:spacing w:line="500" w:lineRule="exact"/>
        <w:rPr>
          <w:rFonts w:ascii="宋体" w:hAnsi="宋体"/>
          <w:sz w:val="24"/>
          <w:highlight w:val="none"/>
        </w:rPr>
      </w:pPr>
    </w:p>
    <w:p w14:paraId="636C9B69">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4066D93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6E800062">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4559"/>
      <w:bookmarkStart w:id="13" w:name="_Toc26111"/>
      <w:bookmarkStart w:id="14" w:name="_Toc11890"/>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19319"/>
      <w:bookmarkStart w:id="16" w:name="_Toc56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none"/>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1728"/>
      <w:bookmarkStart w:id="22" w:name="_Toc8953"/>
      <w:bookmarkStart w:id="23" w:name="_Toc3266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1"/>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1"/>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04219290"/>
      <w:bookmarkStart w:id="38" w:name="_Toc337554757"/>
      <w:bookmarkStart w:id="39" w:name="_Toc320878673"/>
      <w:bookmarkStart w:id="40" w:name="_Toc349642274"/>
      <w:bookmarkStart w:id="41"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11982"/>
      <w:bookmarkStart w:id="46" w:name="_Toc23117"/>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3816"/>
      <w:bookmarkStart w:id="48" w:name="_Toc2049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4948"/>
      <w:bookmarkStart w:id="50" w:name="_Toc2922"/>
      <w:bookmarkStart w:id="51" w:name="_Toc337475928"/>
      <w:bookmarkStart w:id="52" w:name="_Toc10750"/>
      <w:bookmarkStart w:id="53" w:name="_Toc304219331"/>
      <w:bookmarkStart w:id="54" w:name="_Toc12801"/>
      <w:bookmarkStart w:id="55" w:name="_Toc4599"/>
      <w:bookmarkStart w:id="56" w:name="_Toc15867"/>
      <w:bookmarkStart w:id="57" w:name="_Toc320878714"/>
      <w:bookmarkStart w:id="58" w:name="_Toc28583"/>
      <w:bookmarkStart w:id="59" w:name="_Toc349642319"/>
      <w:bookmarkStart w:id="60" w:name="_Toc337554798"/>
      <w:bookmarkStart w:id="61" w:name="_Toc29526"/>
      <w:bookmarkStart w:id="62" w:name="_Toc30765"/>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7B5B17"/>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441486"/>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2E8403A"/>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883608"/>
    <w:rsid w:val="5FF321A8"/>
    <w:rsid w:val="60CC137A"/>
    <w:rsid w:val="60D3492A"/>
    <w:rsid w:val="61436BB6"/>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qFormat/>
    <w:uiPriority w:val="0"/>
    <w:pPr>
      <w:ind w:firstLine="420" w:firstLineChars="200"/>
    </w:pPr>
    <w:rPr>
      <w:rFonts w:ascii="Times New Roman" w:hAnsi="Times New Roman" w:eastAsia="宋体" w:cs="Times New Roman"/>
      <w:szCs w:val="22"/>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0">
    <w:name w:val="标题 1 Char"/>
    <w:basedOn w:val="33"/>
    <w:link w:val="6"/>
    <w:autoRedefine/>
    <w:qFormat/>
    <w:uiPriority w:val="9"/>
    <w:rPr>
      <w:b/>
      <w:bCs/>
      <w:kern w:val="44"/>
      <w:sz w:val="44"/>
      <w:szCs w:val="44"/>
    </w:rPr>
  </w:style>
  <w:style w:type="character" w:customStyle="1" w:styleId="41">
    <w:name w:val="标题 2 Char"/>
    <w:basedOn w:val="33"/>
    <w:link w:val="7"/>
    <w:autoRedefine/>
    <w:qFormat/>
    <w:uiPriority w:val="0"/>
    <w:rPr>
      <w:rFonts w:ascii="Arial" w:hAnsi="Arial" w:eastAsia="黑体" w:cs="Times New Roman"/>
      <w:b/>
      <w:sz w:val="32"/>
      <w:szCs w:val="20"/>
    </w:rPr>
  </w:style>
  <w:style w:type="character" w:customStyle="1" w:styleId="42">
    <w:name w:val="标题 3 Char"/>
    <w:basedOn w:val="33"/>
    <w:link w:val="8"/>
    <w:autoRedefine/>
    <w:qFormat/>
    <w:uiPriority w:val="9"/>
    <w:rPr>
      <w:b/>
      <w:bCs/>
      <w:sz w:val="32"/>
      <w:szCs w:val="32"/>
    </w:rPr>
  </w:style>
  <w:style w:type="character" w:customStyle="1" w:styleId="43">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3"/>
    <w:link w:val="14"/>
    <w:autoRedefine/>
    <w:semiHidden/>
    <w:qFormat/>
    <w:uiPriority w:val="99"/>
    <w:rPr>
      <w:sz w:val="16"/>
      <w:szCs w:val="16"/>
    </w:rPr>
  </w:style>
  <w:style w:type="character" w:customStyle="1" w:styleId="53">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3"/>
    <w:link w:val="19"/>
    <w:autoRedefine/>
    <w:semiHidden/>
    <w:qFormat/>
    <w:uiPriority w:val="99"/>
    <w:rPr>
      <w:kern w:val="2"/>
      <w:sz w:val="21"/>
      <w:szCs w:val="22"/>
    </w:rPr>
  </w:style>
  <w:style w:type="character" w:customStyle="1" w:styleId="57">
    <w:name w:val="页脚 Char"/>
    <w:basedOn w:val="33"/>
    <w:link w:val="21"/>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5861</Words>
  <Characters>6242</Characters>
  <Lines>315</Lines>
  <Paragraphs>88</Paragraphs>
  <TotalTime>4</TotalTime>
  <ScaleCrop>false</ScaleCrop>
  <LinksUpToDate>false</LinksUpToDate>
  <CharactersWithSpaces>7047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2025-03-31T01:33:05Z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BF0A5681D93E455388FE5AB704937FEA</vt:lpwstr>
  </property>
  <property fmtid="{D5CDD505-2E9C-101B-9397-08002B2CF9AE}" pid="4" name="KSOTemplateDocerSaveRecord">
    <vt:lpwstr>eyJoZGlkIjoiNDdiYzIwYzJkY2VlZTA0OGY0ZGI2YmQyZmFjZDk5NjQiLCJ1c2VySWQiOiIzNDU5NTk2NDkifQ==</vt:lpwstr>
  </property>
</Properties>
</file>