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6"/>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购置</w:t>
      </w:r>
      <w:r>
        <w:rPr>
          <w:rFonts w:hint="eastAsia" w:ascii="宋体" w:hAnsi="宋体" w:cs="宋体"/>
          <w:b/>
          <w:sz w:val="40"/>
          <w:szCs w:val="40"/>
          <w:lang w:val="en-US" w:eastAsia="zh-CN"/>
        </w:rPr>
        <w:t>抗肿瘤药物临床应用监测数据上报程序</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042</w:t>
      </w:r>
    </w:p>
    <w:p w14:paraId="427B6064">
      <w:pPr>
        <w:widowControl/>
        <w:spacing w:line="360" w:lineRule="auto"/>
        <w:jc w:val="both"/>
        <w:outlineLvl w:val="0"/>
        <w:rPr>
          <w:b/>
          <w:sz w:val="52"/>
          <w:szCs w:val="52"/>
        </w:rPr>
      </w:pPr>
    </w:p>
    <w:p w14:paraId="5B71350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33871E31">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4</w:t>
      </w:r>
      <w:r>
        <w:rPr>
          <w:rFonts w:hint="eastAsia" w:ascii="宋体" w:hAnsi="宋体" w:cs="宋体"/>
          <w:b/>
          <w:sz w:val="30"/>
          <w:szCs w:val="30"/>
          <w:highlight w:val="cyan"/>
        </w:rPr>
        <w:t>月</w:t>
      </w:r>
    </w:p>
    <w:p w14:paraId="399FC74A">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6"/>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购置抗肿瘤药物临床应用监测数据上报程序</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7830F8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67D96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w:t>
      </w:r>
      <w:bookmarkStart w:id="53" w:name="_GoBack"/>
      <w:r>
        <w:rPr>
          <w:rFonts w:hint="eastAsia" w:asciiTheme="minorEastAsia" w:hAnsiTheme="minorEastAsia" w:eastAsiaTheme="minorEastAsia" w:cstheme="minorEastAsia"/>
          <w:color w:val="333333"/>
          <w:sz w:val="24"/>
          <w:szCs w:val="24"/>
          <w:lang w:eastAsia="zh-CN"/>
        </w:rPr>
        <w:t>购置抗肿瘤药物临床应用监测数据上报程序</w:t>
      </w:r>
      <w:bookmarkEnd w:id="53"/>
      <w:r>
        <w:rPr>
          <w:rFonts w:hint="default" w:asciiTheme="minorEastAsia" w:hAnsiTheme="minorEastAsia" w:eastAsiaTheme="minorEastAsia" w:cstheme="minorEastAsia"/>
          <w:color w:val="333333"/>
          <w:sz w:val="24"/>
          <w:szCs w:val="24"/>
        </w:rPr>
        <w:t>。</w:t>
      </w:r>
    </w:p>
    <w:p w14:paraId="7A7E564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109908B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val="en-US" w:eastAsia="zh-CN"/>
        </w:rPr>
        <w:t>抗肿瘤药物临床应用监测数据上报程序</w:t>
      </w:r>
      <w:r>
        <w:rPr>
          <w:rFonts w:hint="default" w:asciiTheme="minorEastAsia" w:hAnsiTheme="minorEastAsia" w:eastAsiaTheme="minorEastAsia" w:cstheme="minorEastAsia"/>
          <w:color w:val="333333"/>
          <w:sz w:val="24"/>
          <w:szCs w:val="24"/>
          <w:lang w:eastAsia="zh-CN"/>
        </w:rPr>
        <w:t>。</w:t>
      </w:r>
    </w:p>
    <w:p w14:paraId="4FE2F1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133842D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default" w:asciiTheme="minorEastAsia" w:hAnsiTheme="minorEastAsia" w:eastAsiaTheme="minorEastAsia" w:cstheme="minorEastAsia"/>
          <w:color w:val="333333"/>
          <w:sz w:val="24"/>
          <w:szCs w:val="24"/>
          <w:highlight w:val="none"/>
        </w:rPr>
        <w:t>15</w:t>
      </w:r>
      <w:r>
        <w:rPr>
          <w:rFonts w:hint="default" w:asciiTheme="minorEastAsia" w:hAnsiTheme="minorEastAsia" w:eastAsiaTheme="minorEastAsia" w:cstheme="minorEastAsia"/>
          <w:color w:val="333333"/>
          <w:sz w:val="24"/>
          <w:szCs w:val="24"/>
        </w:rPr>
        <w:t>万元。</w:t>
      </w:r>
    </w:p>
    <w:p w14:paraId="7A498AB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7B32CF0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34C78F7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1EAA11E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385DA8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21E9829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75C12A4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70A0EB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5A8089D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1C929A5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51F97B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7D28072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77FDC4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3380BEB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6F98C32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71CA07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18C336C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1584583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0B7EE93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7FE08D4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31FFB04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68C6189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29F7292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7B8F905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0D9F965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6958F3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09BEEE8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2F9827C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81DE5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5AB2BC9">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0"/>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2"/>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079B68F5">
      <w:pPr>
        <w:spacing w:line="360" w:lineRule="auto"/>
        <w:jc w:val="center"/>
        <w:rPr>
          <w:rFonts w:hint="eastAsia" w:ascii="宋体" w:hAnsi="宋体" w:cs="宋体"/>
          <w:b/>
          <w:bCs w:val="0"/>
          <w:sz w:val="36"/>
          <w:szCs w:val="36"/>
          <w:lang w:val="en-US" w:eastAsia="zh-CN"/>
        </w:rPr>
      </w:pPr>
      <w:r>
        <w:rPr>
          <w:rFonts w:hint="eastAsia" w:ascii="宋体" w:hAnsi="宋体" w:eastAsia="宋体" w:cs="宋体"/>
          <w:b/>
          <w:bCs w:val="0"/>
          <w:sz w:val="36"/>
          <w:szCs w:val="36"/>
          <w:lang w:val="en-US" w:eastAsia="zh-CN"/>
        </w:rPr>
        <w:t>抗肿瘤药物临床应用监测数据上报</w:t>
      </w:r>
      <w:r>
        <w:rPr>
          <w:rFonts w:hint="eastAsia" w:ascii="宋体" w:hAnsi="宋体" w:cs="宋体"/>
          <w:b/>
          <w:bCs w:val="0"/>
          <w:sz w:val="36"/>
          <w:szCs w:val="36"/>
          <w:lang w:val="en-US" w:eastAsia="zh-CN"/>
        </w:rPr>
        <w:t>程序参数</w:t>
      </w:r>
    </w:p>
    <w:p w14:paraId="315D6FFA">
      <w:pPr>
        <w:spacing w:line="360" w:lineRule="auto"/>
        <w:jc w:val="both"/>
        <w:rPr>
          <w:rFonts w:hint="default"/>
          <w:lang w:val="en-US"/>
        </w:rPr>
      </w:pPr>
      <w:r>
        <w:rPr>
          <w:rFonts w:hint="eastAsia" w:asciiTheme="minorEastAsia" w:hAnsiTheme="minorEastAsia"/>
          <w:b/>
          <w:color w:val="000000" w:themeColor="text1"/>
          <w:sz w:val="28"/>
          <w:szCs w:val="28"/>
          <w14:textFill>
            <w14:solidFill>
              <w14:schemeClr w14:val="tx1"/>
            </w14:solidFill>
          </w14:textFill>
        </w:rPr>
        <w:t>一、技术要求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5579"/>
      </w:tblGrid>
      <w:tr w14:paraId="4579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8E4FA7D">
            <w:pPr>
              <w:spacing w:line="360" w:lineRule="auto"/>
              <w:jc w:val="both"/>
              <w:rPr>
                <w:rFonts w:hint="eastAsia" w:ascii="宋体" w:hAnsi="宋体"/>
                <w:b/>
                <w:bCs/>
                <w:sz w:val="24"/>
              </w:rPr>
            </w:pPr>
            <w:r>
              <w:rPr>
                <w:rFonts w:hint="eastAsia" w:ascii="宋体" w:hAnsi="宋体"/>
                <w:b/>
                <w:bCs/>
                <w:sz w:val="24"/>
              </w:rPr>
              <w:t>序号</w:t>
            </w:r>
          </w:p>
        </w:tc>
        <w:tc>
          <w:tcPr>
            <w:tcW w:w="1984" w:type="dxa"/>
            <w:vAlign w:val="center"/>
          </w:tcPr>
          <w:p w14:paraId="639C4FEB">
            <w:pPr>
              <w:spacing w:line="360" w:lineRule="auto"/>
              <w:jc w:val="both"/>
              <w:rPr>
                <w:rFonts w:hint="eastAsia" w:ascii="宋体" w:hAnsi="宋体"/>
                <w:b/>
                <w:bCs/>
                <w:sz w:val="24"/>
              </w:rPr>
            </w:pPr>
            <w:r>
              <w:rPr>
                <w:rFonts w:hint="eastAsia" w:ascii="宋体" w:hAnsi="宋体"/>
                <w:b/>
                <w:bCs/>
                <w:sz w:val="24"/>
              </w:rPr>
              <w:t>模块</w:t>
            </w:r>
          </w:p>
        </w:tc>
        <w:tc>
          <w:tcPr>
            <w:tcW w:w="5579" w:type="dxa"/>
            <w:vAlign w:val="center"/>
          </w:tcPr>
          <w:p w14:paraId="731C84FA">
            <w:pPr>
              <w:spacing w:line="360" w:lineRule="auto"/>
              <w:jc w:val="both"/>
              <w:rPr>
                <w:rFonts w:hint="eastAsia" w:ascii="宋体" w:hAnsi="宋体"/>
                <w:b/>
                <w:bCs/>
                <w:sz w:val="24"/>
              </w:rPr>
            </w:pPr>
            <w:r>
              <w:rPr>
                <w:rFonts w:hint="eastAsia" w:ascii="宋体" w:hAnsi="宋体"/>
                <w:b/>
                <w:bCs/>
                <w:sz w:val="24"/>
              </w:rPr>
              <w:t>功能明细</w:t>
            </w:r>
          </w:p>
        </w:tc>
      </w:tr>
      <w:tr w14:paraId="7F15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072CE17">
            <w:pPr>
              <w:spacing w:line="360" w:lineRule="auto"/>
              <w:jc w:val="both"/>
              <w:rPr>
                <w:rFonts w:hint="eastAsia" w:ascii="宋体" w:hAnsi="宋体"/>
                <w:sz w:val="24"/>
              </w:rPr>
            </w:pPr>
            <w:r>
              <w:rPr>
                <w:rFonts w:hint="eastAsia" w:ascii="宋体" w:hAnsi="宋体"/>
                <w:sz w:val="24"/>
              </w:rPr>
              <w:t>1</w:t>
            </w:r>
          </w:p>
        </w:tc>
        <w:tc>
          <w:tcPr>
            <w:tcW w:w="1984" w:type="dxa"/>
            <w:vAlign w:val="center"/>
          </w:tcPr>
          <w:p w14:paraId="06A33393">
            <w:pPr>
              <w:spacing w:line="360" w:lineRule="auto"/>
              <w:jc w:val="both"/>
              <w:rPr>
                <w:rFonts w:hint="eastAsia" w:ascii="宋体" w:hAnsi="宋体"/>
                <w:sz w:val="24"/>
              </w:rPr>
            </w:pPr>
            <w:r>
              <w:rPr>
                <w:rFonts w:hint="eastAsia" w:ascii="宋体" w:hAnsi="宋体"/>
                <w:sz w:val="24"/>
              </w:rPr>
              <w:t>肿瘤药物维护</w:t>
            </w:r>
          </w:p>
        </w:tc>
        <w:tc>
          <w:tcPr>
            <w:tcW w:w="5579" w:type="dxa"/>
            <w:vAlign w:val="center"/>
          </w:tcPr>
          <w:p w14:paraId="679FBCE4">
            <w:pPr>
              <w:spacing w:line="360" w:lineRule="auto"/>
              <w:jc w:val="both"/>
              <w:rPr>
                <w:rFonts w:hint="eastAsia" w:ascii="宋体" w:hAnsi="宋体"/>
                <w:sz w:val="24"/>
              </w:rPr>
            </w:pPr>
            <w:r>
              <w:rPr>
                <w:rFonts w:hint="eastAsia" w:ascii="宋体" w:hAnsi="宋体"/>
                <w:sz w:val="24"/>
              </w:rPr>
              <w:t>支持在医院所有药物中选择出所有抗肿瘤药物进行检测，节省大量时间去筛选肿瘤药物，为检测工作提供方便。</w:t>
            </w:r>
          </w:p>
        </w:tc>
      </w:tr>
      <w:tr w14:paraId="3322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F3A30B7">
            <w:pPr>
              <w:spacing w:line="360" w:lineRule="auto"/>
              <w:jc w:val="both"/>
              <w:rPr>
                <w:rFonts w:hint="eastAsia" w:ascii="宋体" w:hAnsi="宋体"/>
                <w:sz w:val="24"/>
              </w:rPr>
            </w:pPr>
            <w:r>
              <w:rPr>
                <w:rFonts w:hint="eastAsia" w:ascii="宋体" w:hAnsi="宋体"/>
                <w:sz w:val="24"/>
              </w:rPr>
              <w:t>2</w:t>
            </w:r>
          </w:p>
        </w:tc>
        <w:tc>
          <w:tcPr>
            <w:tcW w:w="1984" w:type="dxa"/>
            <w:vAlign w:val="center"/>
          </w:tcPr>
          <w:p w14:paraId="0F9B40D9">
            <w:pPr>
              <w:spacing w:line="360" w:lineRule="auto"/>
              <w:jc w:val="both"/>
              <w:rPr>
                <w:rFonts w:hint="eastAsia" w:ascii="宋体" w:hAnsi="宋体"/>
                <w:sz w:val="24"/>
              </w:rPr>
            </w:pPr>
            <w:r>
              <w:rPr>
                <w:rFonts w:hint="eastAsia" w:ascii="宋体" w:hAnsi="宋体"/>
                <w:sz w:val="24"/>
              </w:rPr>
              <w:t>肿瘤诊断维护</w:t>
            </w:r>
          </w:p>
        </w:tc>
        <w:tc>
          <w:tcPr>
            <w:tcW w:w="5579" w:type="dxa"/>
            <w:vAlign w:val="center"/>
          </w:tcPr>
          <w:p w14:paraId="4542527E">
            <w:pPr>
              <w:spacing w:line="360" w:lineRule="auto"/>
              <w:jc w:val="both"/>
              <w:rPr>
                <w:rFonts w:hint="eastAsia" w:ascii="宋体" w:hAnsi="宋体"/>
                <w:sz w:val="24"/>
              </w:rPr>
            </w:pPr>
            <w:r>
              <w:rPr>
                <w:rFonts w:hint="eastAsia" w:ascii="宋体" w:hAnsi="宋体"/>
                <w:sz w:val="24"/>
              </w:rPr>
              <w:t>支持在所有诊断中选择出肿瘤诊断添加到</w:t>
            </w:r>
            <w:r>
              <w:rPr>
                <w:rFonts w:hint="eastAsia" w:ascii="宋体" w:hAnsi="宋体"/>
                <w:sz w:val="24"/>
                <w:lang w:val="en-US" w:eastAsia="zh-CN"/>
              </w:rPr>
              <w:t>程序</w:t>
            </w:r>
            <w:r>
              <w:rPr>
                <w:rFonts w:hint="eastAsia" w:ascii="宋体" w:hAnsi="宋体"/>
                <w:sz w:val="24"/>
              </w:rPr>
              <w:t>中，与国家标准IDC诊断进行对照。对照后</w:t>
            </w:r>
            <w:r>
              <w:rPr>
                <w:rFonts w:hint="eastAsia" w:ascii="宋体" w:hAnsi="宋体"/>
                <w:sz w:val="24"/>
                <w:lang w:val="en-US" w:eastAsia="zh-CN"/>
              </w:rPr>
              <w:t>程序</w:t>
            </w:r>
            <w:r>
              <w:rPr>
                <w:rFonts w:hint="eastAsia" w:ascii="宋体" w:hAnsi="宋体"/>
                <w:sz w:val="24"/>
              </w:rPr>
              <w:t>诊断数据则为抗肿瘤药物临床检测工作的标准IDC10诊断。</w:t>
            </w:r>
          </w:p>
        </w:tc>
      </w:tr>
      <w:tr w14:paraId="144F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ECF930F">
            <w:pPr>
              <w:spacing w:line="360" w:lineRule="auto"/>
              <w:jc w:val="both"/>
              <w:rPr>
                <w:rFonts w:hint="eastAsia" w:ascii="宋体" w:hAnsi="宋体"/>
                <w:sz w:val="24"/>
              </w:rPr>
            </w:pPr>
            <w:r>
              <w:rPr>
                <w:rFonts w:hint="eastAsia" w:ascii="宋体" w:hAnsi="宋体"/>
                <w:sz w:val="24"/>
              </w:rPr>
              <w:t>3</w:t>
            </w:r>
          </w:p>
        </w:tc>
        <w:tc>
          <w:tcPr>
            <w:tcW w:w="1984" w:type="dxa"/>
            <w:vAlign w:val="center"/>
          </w:tcPr>
          <w:p w14:paraId="0601D242">
            <w:pPr>
              <w:spacing w:line="360" w:lineRule="auto"/>
              <w:jc w:val="both"/>
              <w:rPr>
                <w:rFonts w:hint="eastAsia" w:ascii="宋体" w:hAnsi="宋体"/>
                <w:sz w:val="24"/>
              </w:rPr>
            </w:pPr>
            <w:r>
              <w:rPr>
                <w:rFonts w:hint="eastAsia" w:ascii="宋体" w:hAnsi="宋体"/>
                <w:sz w:val="24"/>
              </w:rPr>
              <w:t>标准信息维护</w:t>
            </w:r>
          </w:p>
        </w:tc>
        <w:tc>
          <w:tcPr>
            <w:tcW w:w="5579" w:type="dxa"/>
            <w:vAlign w:val="center"/>
          </w:tcPr>
          <w:p w14:paraId="7C416B1F">
            <w:pPr>
              <w:spacing w:line="360" w:lineRule="auto"/>
              <w:jc w:val="both"/>
              <w:rPr>
                <w:rFonts w:hint="eastAsia" w:ascii="宋体" w:hAnsi="宋体"/>
                <w:sz w:val="24"/>
              </w:rPr>
            </w:pPr>
            <w:r>
              <w:rPr>
                <w:rFonts w:hint="eastAsia" w:ascii="宋体" w:hAnsi="宋体"/>
                <w:sz w:val="24"/>
              </w:rPr>
              <w:t>实现标准IDC诊断与院内诊断的对应关系。</w:t>
            </w:r>
          </w:p>
        </w:tc>
      </w:tr>
      <w:tr w14:paraId="4B9A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263CF97">
            <w:pPr>
              <w:spacing w:line="360" w:lineRule="auto"/>
              <w:jc w:val="both"/>
              <w:rPr>
                <w:rFonts w:hint="eastAsia" w:ascii="宋体" w:hAnsi="宋体"/>
                <w:sz w:val="24"/>
              </w:rPr>
            </w:pPr>
            <w:r>
              <w:rPr>
                <w:rFonts w:hint="eastAsia" w:ascii="宋体" w:hAnsi="宋体"/>
                <w:sz w:val="24"/>
              </w:rPr>
              <w:t>4</w:t>
            </w:r>
          </w:p>
        </w:tc>
        <w:tc>
          <w:tcPr>
            <w:tcW w:w="1984" w:type="dxa"/>
            <w:vAlign w:val="center"/>
          </w:tcPr>
          <w:p w14:paraId="76D78AB2">
            <w:pPr>
              <w:spacing w:line="360" w:lineRule="auto"/>
              <w:jc w:val="both"/>
              <w:rPr>
                <w:rFonts w:hint="eastAsia" w:ascii="宋体" w:hAnsi="宋体"/>
                <w:sz w:val="24"/>
              </w:rPr>
            </w:pPr>
            <w:r>
              <w:rPr>
                <w:rFonts w:hint="eastAsia" w:ascii="宋体" w:hAnsi="宋体"/>
                <w:sz w:val="24"/>
              </w:rPr>
              <w:t>基础信息对照</w:t>
            </w:r>
          </w:p>
        </w:tc>
        <w:tc>
          <w:tcPr>
            <w:tcW w:w="5579" w:type="dxa"/>
            <w:vAlign w:val="center"/>
          </w:tcPr>
          <w:p w14:paraId="58858F83">
            <w:pPr>
              <w:spacing w:line="360" w:lineRule="auto"/>
              <w:jc w:val="both"/>
              <w:rPr>
                <w:rFonts w:hint="eastAsia" w:ascii="宋体" w:hAnsi="宋体"/>
                <w:sz w:val="24"/>
              </w:rPr>
            </w:pPr>
            <w:r>
              <w:rPr>
                <w:rFonts w:hint="eastAsia" w:ascii="宋体" w:hAnsi="宋体"/>
                <w:sz w:val="24"/>
              </w:rPr>
              <w:t>为确保抗肿瘤药物临床应用检测工作的正确性，支持HIS中的基本信息与国家标准的基本信息进行对照功能。对照完成后则为国家标准的基本信息，为检测工作提供方便。</w:t>
            </w:r>
          </w:p>
        </w:tc>
      </w:tr>
      <w:tr w14:paraId="53D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85EB954">
            <w:pPr>
              <w:spacing w:line="360" w:lineRule="auto"/>
              <w:jc w:val="both"/>
              <w:rPr>
                <w:rFonts w:hint="eastAsia" w:ascii="宋体" w:hAnsi="宋体"/>
                <w:sz w:val="24"/>
              </w:rPr>
            </w:pPr>
            <w:r>
              <w:rPr>
                <w:rFonts w:hint="eastAsia" w:ascii="宋体" w:hAnsi="宋体"/>
                <w:sz w:val="24"/>
              </w:rPr>
              <w:t>5</w:t>
            </w:r>
          </w:p>
        </w:tc>
        <w:tc>
          <w:tcPr>
            <w:tcW w:w="1984" w:type="dxa"/>
            <w:vAlign w:val="center"/>
          </w:tcPr>
          <w:p w14:paraId="3E465D45">
            <w:pPr>
              <w:spacing w:line="360" w:lineRule="auto"/>
              <w:jc w:val="both"/>
              <w:rPr>
                <w:rFonts w:hint="eastAsia" w:ascii="宋体" w:hAnsi="宋体"/>
                <w:sz w:val="24"/>
              </w:rPr>
            </w:pPr>
            <w:r>
              <w:rPr>
                <w:rFonts w:hint="eastAsia" w:ascii="宋体" w:hAnsi="宋体"/>
                <w:sz w:val="24"/>
              </w:rPr>
              <w:t>生成上报数据</w:t>
            </w:r>
          </w:p>
        </w:tc>
        <w:tc>
          <w:tcPr>
            <w:tcW w:w="5579" w:type="dxa"/>
            <w:vAlign w:val="center"/>
          </w:tcPr>
          <w:p w14:paraId="1C3FC569">
            <w:pPr>
              <w:pStyle w:val="69"/>
              <w:numPr>
                <w:ilvl w:val="0"/>
                <w:numId w:val="0"/>
              </w:numPr>
              <w:spacing w:line="360" w:lineRule="auto"/>
              <w:ind w:leftChars="0"/>
              <w:contextualSpacing w:val="0"/>
              <w:jc w:val="both"/>
              <w:rPr>
                <w:rFonts w:hint="eastAsia" w:ascii="宋体" w:hAnsi="宋体"/>
                <w:sz w:val="24"/>
              </w:rPr>
            </w:pPr>
            <w:r>
              <w:rPr>
                <w:rFonts w:hint="eastAsia" w:ascii="宋体" w:hAnsi="宋体"/>
                <w:sz w:val="24"/>
                <w:lang w:eastAsia="zh-CN"/>
              </w:rPr>
              <w:t>一、</w:t>
            </w:r>
            <w:r>
              <w:rPr>
                <w:rFonts w:hint="eastAsia" w:ascii="宋体" w:hAnsi="宋体"/>
                <w:sz w:val="24"/>
              </w:rPr>
              <w:t>支持所有检测工作所需要的统计数据查询报表及导出，包含：</w:t>
            </w:r>
          </w:p>
          <w:p w14:paraId="6D3735DA">
            <w:pPr>
              <w:pStyle w:val="69"/>
              <w:numPr>
                <w:ilvl w:val="0"/>
                <w:numId w:val="3"/>
              </w:numPr>
              <w:spacing w:line="360" w:lineRule="auto"/>
              <w:contextualSpacing w:val="0"/>
              <w:jc w:val="both"/>
              <w:rPr>
                <w:rFonts w:hint="eastAsia" w:ascii="宋体" w:hAnsi="宋体"/>
                <w:sz w:val="24"/>
              </w:rPr>
            </w:pPr>
            <w:r>
              <w:rPr>
                <w:rFonts w:hint="eastAsia" w:ascii="宋体" w:hAnsi="宋体"/>
                <w:sz w:val="24"/>
              </w:rPr>
              <w:t>抗肿瘤药物采购清单</w:t>
            </w:r>
          </w:p>
          <w:p w14:paraId="56256213">
            <w:pPr>
              <w:pStyle w:val="69"/>
              <w:numPr>
                <w:ilvl w:val="0"/>
                <w:numId w:val="3"/>
              </w:numPr>
              <w:spacing w:line="360" w:lineRule="auto"/>
              <w:contextualSpacing w:val="0"/>
              <w:jc w:val="both"/>
              <w:rPr>
                <w:rFonts w:hint="eastAsia" w:ascii="宋体" w:hAnsi="宋体"/>
                <w:sz w:val="24"/>
              </w:rPr>
            </w:pPr>
            <w:r>
              <w:rPr>
                <w:rFonts w:hint="eastAsia" w:ascii="宋体" w:hAnsi="宋体"/>
                <w:sz w:val="24"/>
              </w:rPr>
              <w:t>抗肿瘤药物使用清单</w:t>
            </w:r>
          </w:p>
          <w:p w14:paraId="5EB26E8A">
            <w:pPr>
              <w:pStyle w:val="69"/>
              <w:numPr>
                <w:ilvl w:val="0"/>
                <w:numId w:val="3"/>
              </w:numPr>
              <w:spacing w:line="360" w:lineRule="auto"/>
              <w:contextualSpacing w:val="0"/>
              <w:jc w:val="both"/>
              <w:rPr>
                <w:rFonts w:hint="eastAsia" w:ascii="宋体" w:hAnsi="宋体"/>
                <w:sz w:val="24"/>
              </w:rPr>
            </w:pPr>
            <w:r>
              <w:rPr>
                <w:rFonts w:hint="eastAsia" w:ascii="宋体" w:hAnsi="宋体"/>
                <w:sz w:val="24"/>
              </w:rPr>
              <w:t>患者信息及患者药物不良反应</w:t>
            </w:r>
          </w:p>
          <w:p w14:paraId="7D8C0FBF">
            <w:pPr>
              <w:pStyle w:val="69"/>
              <w:numPr>
                <w:ilvl w:val="0"/>
                <w:numId w:val="3"/>
              </w:numPr>
              <w:spacing w:line="360" w:lineRule="auto"/>
              <w:contextualSpacing w:val="0"/>
              <w:jc w:val="both"/>
              <w:rPr>
                <w:rFonts w:hint="eastAsia" w:ascii="宋体" w:hAnsi="宋体"/>
                <w:sz w:val="24"/>
              </w:rPr>
            </w:pPr>
            <w:r>
              <w:rPr>
                <w:rFonts w:hint="eastAsia" w:ascii="宋体" w:hAnsi="宋体"/>
                <w:sz w:val="24"/>
              </w:rPr>
              <w:t>住院信息表</w:t>
            </w:r>
          </w:p>
          <w:p w14:paraId="74FD741D">
            <w:pPr>
              <w:pStyle w:val="69"/>
              <w:numPr>
                <w:ilvl w:val="0"/>
                <w:numId w:val="3"/>
              </w:numPr>
              <w:spacing w:line="360" w:lineRule="auto"/>
              <w:contextualSpacing w:val="0"/>
              <w:jc w:val="both"/>
              <w:rPr>
                <w:rFonts w:hint="eastAsia" w:ascii="宋体" w:hAnsi="宋体"/>
                <w:sz w:val="24"/>
              </w:rPr>
            </w:pPr>
            <w:r>
              <w:rPr>
                <w:rFonts w:hint="eastAsia" w:ascii="宋体" w:hAnsi="宋体"/>
                <w:sz w:val="24"/>
              </w:rPr>
              <w:t>病案首页</w:t>
            </w:r>
          </w:p>
          <w:p w14:paraId="3C3DAA2F">
            <w:pPr>
              <w:pStyle w:val="69"/>
              <w:numPr>
                <w:ilvl w:val="0"/>
                <w:numId w:val="3"/>
              </w:numPr>
              <w:spacing w:line="360" w:lineRule="auto"/>
              <w:contextualSpacing w:val="0"/>
              <w:jc w:val="both"/>
              <w:rPr>
                <w:rFonts w:hint="eastAsia" w:ascii="宋体" w:hAnsi="宋体"/>
                <w:sz w:val="24"/>
              </w:rPr>
            </w:pPr>
            <w:r>
              <w:rPr>
                <w:rFonts w:hint="eastAsia" w:ascii="宋体" w:hAnsi="宋体"/>
                <w:sz w:val="24"/>
              </w:rPr>
              <w:t>入院记录</w:t>
            </w:r>
          </w:p>
          <w:p w14:paraId="4A433DB1">
            <w:pPr>
              <w:pStyle w:val="69"/>
              <w:numPr>
                <w:ilvl w:val="0"/>
                <w:numId w:val="3"/>
              </w:numPr>
              <w:spacing w:line="360" w:lineRule="auto"/>
              <w:contextualSpacing w:val="0"/>
              <w:jc w:val="both"/>
              <w:rPr>
                <w:rFonts w:hint="eastAsia" w:ascii="宋体" w:hAnsi="宋体"/>
                <w:sz w:val="24"/>
              </w:rPr>
            </w:pPr>
            <w:r>
              <w:rPr>
                <w:rFonts w:hint="eastAsia" w:ascii="宋体" w:hAnsi="宋体"/>
                <w:sz w:val="24"/>
              </w:rPr>
              <w:t>病程记录</w:t>
            </w:r>
          </w:p>
          <w:p w14:paraId="556EA03A">
            <w:pPr>
              <w:pStyle w:val="69"/>
              <w:numPr>
                <w:ilvl w:val="0"/>
                <w:numId w:val="3"/>
              </w:numPr>
              <w:spacing w:line="360" w:lineRule="auto"/>
              <w:contextualSpacing w:val="0"/>
              <w:jc w:val="both"/>
              <w:rPr>
                <w:rFonts w:hint="eastAsia" w:ascii="宋体" w:hAnsi="宋体"/>
                <w:sz w:val="24"/>
              </w:rPr>
            </w:pPr>
            <w:r>
              <w:rPr>
                <w:rFonts w:hint="eastAsia" w:ascii="宋体" w:hAnsi="宋体"/>
                <w:sz w:val="24"/>
              </w:rPr>
              <w:t>出院记录</w:t>
            </w:r>
          </w:p>
          <w:p w14:paraId="6317DD3A">
            <w:pPr>
              <w:pStyle w:val="69"/>
              <w:numPr>
                <w:ilvl w:val="0"/>
                <w:numId w:val="3"/>
              </w:numPr>
              <w:spacing w:line="360" w:lineRule="auto"/>
              <w:contextualSpacing w:val="0"/>
              <w:jc w:val="both"/>
              <w:rPr>
                <w:rFonts w:hint="eastAsia" w:ascii="宋体" w:hAnsi="宋体"/>
                <w:sz w:val="24"/>
              </w:rPr>
            </w:pPr>
            <w:r>
              <w:rPr>
                <w:rFonts w:hint="eastAsia" w:ascii="宋体" w:hAnsi="宋体"/>
                <w:sz w:val="24"/>
              </w:rPr>
              <w:t>住院手术记录</w:t>
            </w:r>
          </w:p>
          <w:p w14:paraId="10BB7631">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10、</w:t>
            </w:r>
            <w:r>
              <w:rPr>
                <w:rFonts w:hint="eastAsia" w:ascii="宋体" w:hAnsi="宋体"/>
                <w:sz w:val="24"/>
              </w:rPr>
              <w:t>住院护理记录</w:t>
            </w:r>
          </w:p>
          <w:p w14:paraId="30D91438">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11、</w:t>
            </w:r>
            <w:r>
              <w:rPr>
                <w:rFonts w:hint="eastAsia" w:ascii="宋体" w:hAnsi="宋体"/>
                <w:sz w:val="24"/>
              </w:rPr>
              <w:t>住院医嘱</w:t>
            </w:r>
          </w:p>
          <w:p w14:paraId="6270506D">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12、</w:t>
            </w:r>
            <w:r>
              <w:rPr>
                <w:rFonts w:hint="eastAsia" w:ascii="宋体" w:hAnsi="宋体"/>
                <w:sz w:val="24"/>
              </w:rPr>
              <w:t>住院收费记录</w:t>
            </w:r>
          </w:p>
          <w:p w14:paraId="2B7C1BD1">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13、</w:t>
            </w:r>
            <w:r>
              <w:rPr>
                <w:rFonts w:hint="eastAsia" w:ascii="宋体" w:hAnsi="宋体"/>
                <w:sz w:val="24"/>
              </w:rPr>
              <w:t>门诊信息表</w:t>
            </w:r>
          </w:p>
          <w:p w14:paraId="51B40A32">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14、</w:t>
            </w:r>
            <w:r>
              <w:rPr>
                <w:rFonts w:hint="eastAsia" w:ascii="宋体" w:hAnsi="宋体"/>
                <w:sz w:val="24"/>
              </w:rPr>
              <w:t>门诊诊断及病历记录</w:t>
            </w:r>
          </w:p>
          <w:p w14:paraId="38749466">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15、</w:t>
            </w:r>
            <w:r>
              <w:rPr>
                <w:rFonts w:hint="eastAsia" w:ascii="宋体" w:hAnsi="宋体"/>
                <w:sz w:val="24"/>
              </w:rPr>
              <w:t>门诊医嘱及处方</w:t>
            </w:r>
          </w:p>
          <w:p w14:paraId="1180000C">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16、</w:t>
            </w:r>
            <w:r>
              <w:rPr>
                <w:rFonts w:hint="eastAsia" w:ascii="宋体" w:hAnsi="宋体"/>
                <w:sz w:val="24"/>
              </w:rPr>
              <w:t>门诊费用明细</w:t>
            </w:r>
          </w:p>
          <w:p w14:paraId="78FE6BA3">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17、</w:t>
            </w:r>
            <w:r>
              <w:rPr>
                <w:rFonts w:hint="eastAsia" w:ascii="宋体" w:hAnsi="宋体"/>
                <w:sz w:val="24"/>
              </w:rPr>
              <w:t>临床检查信息</w:t>
            </w:r>
          </w:p>
          <w:p w14:paraId="6EAB8073">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18、</w:t>
            </w:r>
            <w:r>
              <w:rPr>
                <w:rFonts w:hint="eastAsia" w:ascii="宋体" w:hAnsi="宋体"/>
                <w:sz w:val="24"/>
              </w:rPr>
              <w:t>实验室检验信息</w:t>
            </w:r>
          </w:p>
          <w:p w14:paraId="13BDDF14">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19、</w:t>
            </w:r>
            <w:r>
              <w:rPr>
                <w:rFonts w:hint="eastAsia" w:ascii="宋体" w:hAnsi="宋体"/>
                <w:sz w:val="24"/>
              </w:rPr>
              <w:t>病历检查记录</w:t>
            </w:r>
          </w:p>
          <w:p w14:paraId="02267D88">
            <w:pPr>
              <w:pStyle w:val="69"/>
              <w:numPr>
                <w:ilvl w:val="0"/>
                <w:numId w:val="0"/>
              </w:numPr>
              <w:spacing w:line="360" w:lineRule="auto"/>
              <w:ind w:left="420" w:leftChars="0"/>
              <w:contextualSpacing w:val="0"/>
              <w:jc w:val="both"/>
              <w:rPr>
                <w:rFonts w:hint="eastAsia" w:ascii="宋体" w:hAnsi="宋体"/>
                <w:sz w:val="24"/>
              </w:rPr>
            </w:pPr>
            <w:r>
              <w:rPr>
                <w:rFonts w:hint="eastAsia" w:ascii="宋体" w:hAnsi="宋体"/>
                <w:sz w:val="24"/>
                <w:lang w:val="en-US" w:eastAsia="zh-CN"/>
              </w:rPr>
              <w:t>20、</w:t>
            </w:r>
            <w:r>
              <w:rPr>
                <w:rFonts w:hint="eastAsia" w:ascii="宋体" w:hAnsi="宋体"/>
                <w:sz w:val="24"/>
              </w:rPr>
              <w:t>随访记录</w:t>
            </w:r>
          </w:p>
          <w:p w14:paraId="1083E25C">
            <w:pPr>
              <w:spacing w:line="360" w:lineRule="auto"/>
              <w:jc w:val="both"/>
              <w:rPr>
                <w:rFonts w:hint="eastAsia" w:ascii="宋体" w:hAnsi="宋体"/>
                <w:sz w:val="24"/>
              </w:rPr>
            </w:pPr>
            <w:r>
              <w:rPr>
                <w:rFonts w:hint="eastAsia" w:ascii="宋体" w:hAnsi="宋体"/>
                <w:sz w:val="24"/>
              </w:rPr>
              <w:t>二、在国家抗肿瘤药物临床应用监测网开放</w:t>
            </w:r>
            <w:r>
              <w:rPr>
                <w:rFonts w:hint="eastAsia" w:ascii="宋体" w:hAnsi="宋体"/>
                <w:sz w:val="24"/>
                <w:lang w:eastAsia="zh-CN"/>
              </w:rPr>
              <w:t>系统</w:t>
            </w:r>
            <w:r>
              <w:rPr>
                <w:rFonts w:hint="eastAsia" w:ascii="宋体" w:hAnsi="宋体"/>
                <w:sz w:val="24"/>
              </w:rPr>
              <w:t>接口给医院后，实现与国家平台的自动对接。</w:t>
            </w:r>
          </w:p>
        </w:tc>
      </w:tr>
    </w:tbl>
    <w:p w14:paraId="63B77530">
      <w:pPr>
        <w:spacing w:line="360" w:lineRule="auto"/>
        <w:jc w:val="both"/>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二、商务要求</w:t>
      </w:r>
    </w:p>
    <w:p w14:paraId="3884A130">
      <w:pPr>
        <w:pStyle w:val="164"/>
        <w:numPr>
          <w:ilvl w:val="0"/>
          <w:numId w:val="0"/>
        </w:numPr>
        <w:spacing w:before="0" w:after="0"/>
        <w:ind w:leftChars="117"/>
        <w:jc w:val="both"/>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 xml:space="preserve">1.1 </w:t>
      </w:r>
      <w:r>
        <w:rPr>
          <w:rFonts w:hint="eastAsia" w:ascii="宋体" w:hAnsi="宋体" w:eastAsia="宋体" w:cs="宋体"/>
          <w:b/>
          <w:bCs/>
          <w:color w:val="auto"/>
          <w:sz w:val="24"/>
          <w:szCs w:val="24"/>
        </w:rPr>
        <w:t>特定资格：</w:t>
      </w:r>
    </w:p>
    <w:p w14:paraId="71E7AC7F">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无。</w:t>
      </w:r>
    </w:p>
    <w:p w14:paraId="2C20FD61">
      <w:pPr>
        <w:pStyle w:val="164"/>
        <w:numPr>
          <w:ilvl w:val="0"/>
          <w:numId w:val="0"/>
        </w:numPr>
        <w:spacing w:before="0" w:after="0"/>
        <w:ind w:leftChars="117"/>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1.2 </w:t>
      </w:r>
      <w:r>
        <w:rPr>
          <w:rFonts w:hint="eastAsia" w:ascii="宋体" w:hAnsi="宋体" w:eastAsia="宋体" w:cs="宋体"/>
          <w:b/>
          <w:bCs/>
          <w:color w:val="auto"/>
          <w:sz w:val="24"/>
          <w:szCs w:val="24"/>
          <w:lang w:eastAsia="zh-CN"/>
        </w:rPr>
        <w:t>项目</w:t>
      </w:r>
      <w:r>
        <w:rPr>
          <w:rFonts w:hint="eastAsia" w:ascii="宋体" w:hAnsi="宋体" w:eastAsia="宋体" w:cs="宋体"/>
          <w:b/>
          <w:bCs/>
          <w:color w:val="auto"/>
          <w:sz w:val="24"/>
          <w:szCs w:val="24"/>
        </w:rPr>
        <w:t>完工期限</w:t>
      </w:r>
      <w:r>
        <w:rPr>
          <w:rFonts w:hint="eastAsia" w:ascii="宋体" w:hAnsi="宋体" w:eastAsia="宋体" w:cs="宋体"/>
          <w:color w:val="auto"/>
          <w:sz w:val="24"/>
          <w:szCs w:val="24"/>
        </w:rPr>
        <w:t>：</w:t>
      </w:r>
    </w:p>
    <w:p w14:paraId="3586F084">
      <w:pPr>
        <w:numPr>
          <w:ilvl w:val="-1"/>
          <w:numId w:val="0"/>
        </w:num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eastAsia="zh-CN"/>
        </w:rPr>
        <w:t>完工期限</w:t>
      </w:r>
      <w:r>
        <w:rPr>
          <w:rFonts w:hint="eastAsia" w:ascii="宋体" w:hAnsi="宋体" w:eastAsia="宋体" w:cs="宋体"/>
          <w:bCs/>
          <w:kern w:val="0"/>
          <w:sz w:val="24"/>
          <w:lang w:val="en-US" w:eastAsia="zh-CN"/>
        </w:rPr>
        <w:t>：</w:t>
      </w:r>
      <w:r>
        <w:rPr>
          <w:rFonts w:hint="eastAsia" w:ascii="宋体" w:hAnsi="宋体" w:eastAsia="宋体" w:cs="宋体"/>
          <w:bCs/>
          <w:kern w:val="0"/>
          <w:sz w:val="24"/>
        </w:rPr>
        <w:t>合同签订后</w:t>
      </w:r>
      <w:r>
        <w:rPr>
          <w:rFonts w:hint="eastAsia" w:ascii="宋体" w:hAnsi="宋体" w:eastAsia="宋体" w:cs="宋体"/>
          <w:bCs/>
          <w:kern w:val="0"/>
          <w:sz w:val="24"/>
          <w:lang w:val="en-US" w:eastAsia="zh-CN"/>
        </w:rPr>
        <w:t>60</w:t>
      </w:r>
      <w:r>
        <w:rPr>
          <w:rFonts w:hint="eastAsia" w:ascii="宋体" w:hAnsi="宋体" w:eastAsia="宋体" w:cs="宋体"/>
          <w:bCs/>
          <w:kern w:val="0"/>
          <w:sz w:val="24"/>
        </w:rPr>
        <w:t>日历天。</w:t>
      </w:r>
    </w:p>
    <w:p w14:paraId="576B6AE4">
      <w:pPr>
        <w:pStyle w:val="164"/>
        <w:numPr>
          <w:ilvl w:val="0"/>
          <w:numId w:val="0"/>
        </w:numPr>
        <w:spacing w:before="0" w:after="0"/>
        <w:ind w:leftChars="117"/>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1.3 </w:t>
      </w:r>
      <w:r>
        <w:rPr>
          <w:rFonts w:hint="eastAsia" w:ascii="宋体" w:hAnsi="宋体" w:eastAsia="宋体" w:cs="宋体"/>
          <w:b/>
          <w:bCs/>
          <w:color w:val="auto"/>
          <w:sz w:val="24"/>
          <w:szCs w:val="24"/>
        </w:rPr>
        <w:t>服务要求</w:t>
      </w:r>
    </w:p>
    <w:p w14:paraId="4A84233E">
      <w:pPr>
        <w:spacing w:line="360" w:lineRule="auto"/>
        <w:ind w:firstLine="480" w:firstLineChars="200"/>
        <w:jc w:val="both"/>
        <w:rPr>
          <w:rFonts w:hint="eastAsia" w:ascii="宋体" w:hAnsi="宋体" w:eastAsia="宋体" w:cs="宋体"/>
          <w:bCs/>
          <w:kern w:val="0"/>
          <w:sz w:val="24"/>
        </w:rPr>
      </w:pPr>
      <w:r>
        <w:rPr>
          <w:rFonts w:hint="eastAsia" w:ascii="宋体" w:hAnsi="宋体" w:eastAsia="宋体" w:cs="宋体"/>
          <w:bCs/>
          <w:kern w:val="0"/>
          <w:sz w:val="24"/>
        </w:rPr>
        <w:t>1.3.1</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服务期内，为满足上级指令性或医院评级要求，必须无条件免费配合医院完成</w:t>
      </w:r>
      <w:r>
        <w:rPr>
          <w:rFonts w:hint="eastAsia" w:ascii="宋体" w:hAnsi="宋体" w:cs="宋体"/>
          <w:bCs/>
          <w:kern w:val="0"/>
          <w:sz w:val="24"/>
          <w:lang w:eastAsia="zh-CN"/>
        </w:rPr>
        <w:t>程序</w:t>
      </w:r>
      <w:r>
        <w:rPr>
          <w:rFonts w:hint="eastAsia" w:ascii="宋体" w:hAnsi="宋体" w:eastAsia="宋体" w:cs="宋体"/>
          <w:bCs/>
          <w:kern w:val="0"/>
          <w:sz w:val="24"/>
        </w:rPr>
        <w:t>改造工作。</w:t>
      </w:r>
    </w:p>
    <w:p w14:paraId="1D8ECFCE">
      <w:pPr>
        <w:spacing w:line="360" w:lineRule="auto"/>
        <w:ind w:firstLine="480" w:firstLineChars="200"/>
        <w:jc w:val="both"/>
        <w:rPr>
          <w:rFonts w:hint="eastAsia" w:ascii="宋体" w:hAnsi="宋体" w:eastAsia="宋体" w:cs="宋体"/>
          <w:bCs/>
          <w:kern w:val="0"/>
          <w:sz w:val="24"/>
        </w:rPr>
      </w:pPr>
      <w:r>
        <w:rPr>
          <w:rFonts w:hint="eastAsia" w:ascii="宋体" w:hAnsi="宋体" w:eastAsia="宋体" w:cs="宋体"/>
          <w:bCs/>
          <w:kern w:val="0"/>
          <w:sz w:val="24"/>
        </w:rPr>
        <w:t>1.3.</w:t>
      </w:r>
      <w:r>
        <w:rPr>
          <w:rFonts w:hint="eastAsia" w:ascii="宋体" w:hAnsi="宋体" w:eastAsia="宋体" w:cs="宋体"/>
          <w:bCs/>
          <w:kern w:val="0"/>
          <w:sz w:val="24"/>
          <w:lang w:val="en-US" w:eastAsia="zh-CN"/>
        </w:rPr>
        <w:t>2</w:t>
      </w:r>
      <w:r>
        <w:rPr>
          <w:rFonts w:hint="eastAsia" w:ascii="宋体" w:hAnsi="宋体" w:eastAsia="宋体" w:cs="宋体"/>
          <w:bCs/>
          <w:kern w:val="0"/>
          <w:sz w:val="24"/>
        </w:rPr>
        <w:t xml:space="preserve"> 此项目必须与我院现用软件</w:t>
      </w:r>
      <w:r>
        <w:rPr>
          <w:rFonts w:hint="eastAsia" w:ascii="宋体" w:hAnsi="宋体" w:cs="宋体"/>
          <w:bCs/>
          <w:kern w:val="0"/>
          <w:sz w:val="24"/>
          <w:lang w:eastAsia="zh-CN"/>
        </w:rPr>
        <w:t>系统</w:t>
      </w:r>
      <w:r>
        <w:rPr>
          <w:rFonts w:hint="eastAsia" w:ascii="宋体" w:hAnsi="宋体" w:eastAsia="宋体" w:cs="宋体"/>
          <w:bCs/>
          <w:kern w:val="0"/>
          <w:sz w:val="24"/>
        </w:rPr>
        <w:t>及硬件设备实现通连通用，在安装调试过程中及服务期内与其他第三方</w:t>
      </w:r>
      <w:r>
        <w:rPr>
          <w:rFonts w:hint="eastAsia" w:ascii="宋体" w:hAnsi="宋体" w:cs="宋体"/>
          <w:bCs/>
          <w:kern w:val="0"/>
          <w:sz w:val="24"/>
          <w:lang w:eastAsia="zh-CN"/>
        </w:rPr>
        <w:t>系统</w:t>
      </w:r>
      <w:r>
        <w:rPr>
          <w:rFonts w:hint="eastAsia" w:ascii="宋体" w:hAnsi="宋体" w:eastAsia="宋体" w:cs="宋体"/>
          <w:bCs/>
          <w:kern w:val="0"/>
          <w:sz w:val="24"/>
        </w:rPr>
        <w:t>（包括但不限于HIS、LIS、PACS等）因对接产生的所有费用均由供方自行承担，并保证对接后</w:t>
      </w:r>
      <w:r>
        <w:rPr>
          <w:rFonts w:hint="eastAsia" w:ascii="宋体" w:hAnsi="宋体" w:cs="宋体"/>
          <w:bCs/>
          <w:kern w:val="0"/>
          <w:sz w:val="24"/>
          <w:lang w:eastAsia="zh-CN"/>
        </w:rPr>
        <w:t>程序</w:t>
      </w:r>
      <w:r>
        <w:rPr>
          <w:rFonts w:hint="eastAsia" w:ascii="宋体" w:hAnsi="宋体" w:eastAsia="宋体" w:cs="宋体"/>
          <w:bCs/>
          <w:kern w:val="0"/>
          <w:sz w:val="24"/>
        </w:rPr>
        <w:t>的正常使用和运行。</w:t>
      </w:r>
    </w:p>
    <w:p w14:paraId="6AC56B7D">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1.3.3信息数据涉及患者隐私和医院数据安全，故</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设计及整个流程处理必须符合《中华人民共和国个人信息保护法》《数据分级分类管理办法》等法律法规的管理条例。</w:t>
      </w:r>
    </w:p>
    <w:p w14:paraId="0BD8844D">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1.3.4项目实施前需向需方提交项目实施规划书，包括项目组成员及职责、项目进度计划、规划质量管理等，经需方审核符合项目要求后方可进场实施。需方按照项目实施规划书监管项目按进度和计划有效开展。供方在项目实施中需每周和每月向需方提交工作周报和月报。</w:t>
      </w:r>
    </w:p>
    <w:p w14:paraId="111D7A9C">
      <w:pPr>
        <w:spacing w:line="360" w:lineRule="auto"/>
        <w:ind w:firstLine="480" w:firstLineChars="200"/>
        <w:jc w:val="both"/>
        <w:rPr>
          <w:rFonts w:hint="eastAsia" w:ascii="宋体" w:hAnsi="宋体" w:eastAsia="宋体" w:cs="宋体"/>
          <w:bCs/>
          <w:kern w:val="0"/>
          <w:sz w:val="24"/>
          <w:szCs w:val="22"/>
          <w:lang w:val="en-US" w:eastAsia="zh-CN" w:bidi="ar-SA"/>
        </w:rPr>
      </w:pPr>
      <w:r>
        <w:rPr>
          <w:rFonts w:hint="eastAsia" w:ascii="宋体" w:hAnsi="宋体" w:eastAsia="宋体" w:cs="宋体"/>
          <w:bCs/>
          <w:kern w:val="0"/>
          <w:sz w:val="24"/>
          <w:szCs w:val="22"/>
          <w:lang w:val="en-US" w:eastAsia="zh-CN" w:bidi="ar-SA"/>
        </w:rPr>
        <w:t>1.3.5 供方应保证需方在使用其提供的任何产品时，免受第三方提出的侵犯其专利权、商标权或其他知识产权的侵权指控，否则供方应承担所有法律和经济责任，并赔偿由此给需方造成的全部经济损失。</w:t>
      </w:r>
    </w:p>
    <w:p w14:paraId="4CD17E6D">
      <w:pPr>
        <w:pStyle w:val="164"/>
        <w:numPr>
          <w:ilvl w:val="0"/>
          <w:numId w:val="0"/>
        </w:numPr>
        <w:spacing w:before="0" w:after="0"/>
        <w:ind w:leftChars="117"/>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1.4 </w:t>
      </w:r>
      <w:r>
        <w:rPr>
          <w:rFonts w:hint="eastAsia" w:ascii="宋体" w:hAnsi="宋体" w:eastAsia="宋体" w:cs="宋体"/>
          <w:b/>
          <w:bCs/>
          <w:color w:val="auto"/>
          <w:sz w:val="24"/>
          <w:szCs w:val="24"/>
          <w:lang w:val="en-US"/>
        </w:rPr>
        <w:t>服务期限</w:t>
      </w:r>
      <w:r>
        <w:rPr>
          <w:rFonts w:hint="eastAsia" w:ascii="宋体" w:hAnsi="宋体" w:eastAsia="宋体" w:cs="宋体"/>
          <w:color w:val="auto"/>
          <w:sz w:val="24"/>
          <w:szCs w:val="24"/>
        </w:rPr>
        <w:t>：</w:t>
      </w:r>
    </w:p>
    <w:p w14:paraId="47601655">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项目验收后不少于叁年。</w:t>
      </w:r>
    </w:p>
    <w:p w14:paraId="45AA8819">
      <w:pPr>
        <w:pStyle w:val="164"/>
        <w:numPr>
          <w:ilvl w:val="0"/>
          <w:numId w:val="0"/>
        </w:numPr>
        <w:spacing w:before="0" w:after="0"/>
        <w:ind w:leftChars="117"/>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1.5 </w:t>
      </w:r>
      <w:r>
        <w:rPr>
          <w:rFonts w:hint="eastAsia" w:ascii="宋体" w:hAnsi="宋体" w:eastAsia="宋体" w:cs="宋体"/>
          <w:b/>
          <w:bCs/>
          <w:color w:val="auto"/>
          <w:sz w:val="24"/>
          <w:szCs w:val="24"/>
        </w:rPr>
        <w:t>履约保证金</w:t>
      </w:r>
      <w:r>
        <w:rPr>
          <w:rFonts w:hint="eastAsia" w:ascii="宋体" w:hAnsi="宋体" w:eastAsia="宋体" w:cs="宋体"/>
          <w:color w:val="auto"/>
          <w:sz w:val="24"/>
          <w:szCs w:val="24"/>
        </w:rPr>
        <w:t>：</w:t>
      </w:r>
    </w:p>
    <w:p w14:paraId="6BB542D9">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lang w:val="en-US" w:eastAsia="zh-CN"/>
        </w:rPr>
        <w:t>1.5</w:t>
      </w:r>
      <w:r>
        <w:rPr>
          <w:rFonts w:hint="eastAsia" w:ascii="宋体" w:hAnsi="宋体" w:eastAsia="宋体" w:cs="宋体"/>
          <w:sz w:val="24"/>
        </w:rPr>
        <w:t>.1 供方</w:t>
      </w:r>
      <w:r>
        <w:rPr>
          <w:rFonts w:hint="eastAsia" w:ascii="宋体" w:hAnsi="宋体" w:eastAsia="宋体" w:cs="宋体"/>
          <w:sz w:val="24"/>
          <w:szCs w:val="24"/>
          <w:lang w:eastAsia="zh-CN"/>
        </w:rPr>
        <w:t>接到中标通知后，</w:t>
      </w:r>
      <w:r>
        <w:rPr>
          <w:rFonts w:hint="eastAsia" w:ascii="宋体" w:hAnsi="宋体" w:eastAsia="宋体" w:cs="宋体"/>
          <w:sz w:val="24"/>
        </w:rPr>
        <w:t>须向需方提交履约保证金，履约保证金的金额为合同总价的10%；</w:t>
      </w:r>
    </w:p>
    <w:p w14:paraId="425E18E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lang w:val="en-US" w:eastAsia="zh-CN"/>
        </w:rPr>
        <w:t>1.5</w:t>
      </w: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履约保证金缴纳形式：银行转账或以银行、保险公司出具保函等形式；</w:t>
      </w:r>
    </w:p>
    <w:p w14:paraId="634E917A">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履约保证金接收账户：河南省胸科医院</w:t>
      </w:r>
    </w:p>
    <w:p w14:paraId="7113AB89">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履约保证金接收账号：7607 0157 4000 00953</w:t>
      </w:r>
    </w:p>
    <w:p w14:paraId="5F36947A">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开户行：浦东发展银行郑州东明支行</w:t>
      </w:r>
    </w:p>
    <w:p w14:paraId="07D1D8E5">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lang w:val="en-US" w:eastAsia="zh-CN"/>
        </w:rPr>
        <w:t>1.5</w:t>
      </w:r>
      <w:r>
        <w:rPr>
          <w:rFonts w:hint="eastAsia" w:ascii="宋体" w:hAnsi="宋体" w:eastAsia="宋体" w:cs="宋体"/>
          <w:sz w:val="24"/>
        </w:rPr>
        <w:t>.3</w:t>
      </w:r>
      <w:r>
        <w:rPr>
          <w:rFonts w:hint="eastAsia" w:ascii="宋体" w:hAnsi="宋体" w:eastAsia="宋体" w:cs="宋体"/>
          <w:sz w:val="24"/>
          <w:lang w:val="en-US" w:eastAsia="zh-CN"/>
        </w:rPr>
        <w:t xml:space="preserve"> </w:t>
      </w:r>
      <w:r>
        <w:rPr>
          <w:rFonts w:hint="eastAsia" w:ascii="宋体" w:hAnsi="宋体" w:eastAsia="宋体" w:cs="宋体"/>
          <w:sz w:val="24"/>
        </w:rPr>
        <w:t>履约保证金于服务期满后，依据投标文件，所承诺的优惠条件、售后服务计划、培训计划等执行到位后，按规定程序办理支付手续，一次性付清。</w:t>
      </w:r>
    </w:p>
    <w:p w14:paraId="7430D196">
      <w:pPr>
        <w:pStyle w:val="164"/>
        <w:numPr>
          <w:ilvl w:val="0"/>
          <w:numId w:val="0"/>
        </w:numPr>
        <w:spacing w:before="0" w:after="0"/>
        <w:ind w:leftChars="117"/>
        <w:jc w:val="both"/>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付款方式</w:t>
      </w:r>
      <w:r>
        <w:rPr>
          <w:rFonts w:hint="eastAsia" w:ascii="宋体" w:hAnsi="宋体" w:eastAsia="宋体" w:cs="宋体"/>
          <w:sz w:val="24"/>
          <w:szCs w:val="24"/>
        </w:rPr>
        <w:t>：</w:t>
      </w:r>
    </w:p>
    <w:p w14:paraId="70CB5383">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双方签订合同，达到验收标准，可正常运行并经医院相关部门验收合格，收到供方开具的国家正规发票后，需方一次性支付合同金额100%</w:t>
      </w:r>
      <w:r>
        <w:rPr>
          <w:rFonts w:hint="eastAsia" w:ascii="宋体" w:hAnsi="宋体" w:eastAsia="宋体" w:cs="宋体"/>
          <w:sz w:val="24"/>
          <w:lang w:val="en-US" w:eastAsia="zh-CN"/>
        </w:rPr>
        <w:t>.</w:t>
      </w:r>
    </w:p>
    <w:p w14:paraId="29C78F43">
      <w:pPr>
        <w:pStyle w:val="164"/>
        <w:numPr>
          <w:ilvl w:val="0"/>
          <w:numId w:val="0"/>
        </w:numPr>
        <w:spacing w:before="0" w:after="0"/>
        <w:ind w:leftChars="117"/>
        <w:jc w:val="both"/>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rPr>
        <w:t>售后服务</w:t>
      </w:r>
      <w:r>
        <w:rPr>
          <w:rFonts w:hint="eastAsia" w:ascii="宋体" w:hAnsi="宋体" w:eastAsia="宋体" w:cs="宋体"/>
          <w:sz w:val="24"/>
          <w:szCs w:val="24"/>
        </w:rPr>
        <w:t>：</w:t>
      </w:r>
    </w:p>
    <w:p w14:paraId="69FF809F">
      <w:pPr>
        <w:pStyle w:val="29"/>
        <w:spacing w:line="360" w:lineRule="auto"/>
        <w:ind w:firstLine="480"/>
        <w:jc w:val="both"/>
        <w:rPr>
          <w:rFonts w:hint="eastAsia" w:ascii="宋体" w:hAnsi="宋体" w:eastAsia="宋体" w:cs="宋体"/>
          <w:sz w:val="24"/>
        </w:rPr>
      </w:pPr>
      <w:r>
        <w:rPr>
          <w:rFonts w:hint="eastAsia" w:ascii="宋体" w:hAnsi="宋体" w:eastAsia="宋体" w:cs="宋体"/>
          <w:sz w:val="24"/>
        </w:rPr>
        <w:t>服务期内，所有故障维护服务均为上门服务，并提供永久性7*24小时技术支持，包括各种软件故障及对各种突发事件采取应急措施等，具体的响应时间请参阅下述的故障处理优先级及响应速度。</w:t>
      </w:r>
    </w:p>
    <w:tbl>
      <w:tblPr>
        <w:tblStyle w:val="30"/>
        <w:tblW w:w="89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35"/>
        <w:gridCol w:w="3243"/>
        <w:gridCol w:w="3470"/>
      </w:tblGrid>
      <w:tr w14:paraId="45A6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E1E1F20">
            <w:pPr>
              <w:spacing w:line="360" w:lineRule="auto"/>
              <w:jc w:val="both"/>
              <w:rPr>
                <w:rFonts w:hint="eastAsia" w:ascii="宋体" w:hAnsi="宋体" w:eastAsia="宋体" w:cs="宋体"/>
                <w:b/>
                <w:bCs/>
                <w:sz w:val="24"/>
              </w:rPr>
            </w:pPr>
            <w:r>
              <w:rPr>
                <w:rFonts w:hint="eastAsia" w:ascii="宋体" w:hAnsi="宋体"/>
                <w:b/>
                <w:bCs/>
                <w:szCs w:val="21"/>
              </w:rPr>
              <w:t>序号</w:t>
            </w:r>
          </w:p>
        </w:tc>
        <w:tc>
          <w:tcPr>
            <w:tcW w:w="1435" w:type="dxa"/>
            <w:vAlign w:val="center"/>
          </w:tcPr>
          <w:p w14:paraId="2524F720">
            <w:pPr>
              <w:spacing w:line="360" w:lineRule="auto"/>
              <w:jc w:val="both"/>
              <w:rPr>
                <w:rFonts w:hint="eastAsia" w:ascii="宋体" w:hAnsi="宋体" w:eastAsia="宋体" w:cs="宋体"/>
                <w:b/>
                <w:bCs/>
                <w:sz w:val="24"/>
              </w:rPr>
            </w:pPr>
            <w:r>
              <w:rPr>
                <w:rFonts w:hint="eastAsia" w:ascii="宋体" w:hAnsi="宋体"/>
                <w:b/>
                <w:bCs/>
                <w:szCs w:val="21"/>
              </w:rPr>
              <w:t>故障分级</w:t>
            </w:r>
          </w:p>
        </w:tc>
        <w:tc>
          <w:tcPr>
            <w:tcW w:w="3243" w:type="dxa"/>
            <w:vAlign w:val="center"/>
          </w:tcPr>
          <w:p w14:paraId="32A05444">
            <w:pPr>
              <w:spacing w:line="360" w:lineRule="auto"/>
              <w:jc w:val="both"/>
              <w:rPr>
                <w:rFonts w:hint="eastAsia" w:ascii="宋体" w:hAnsi="宋体" w:eastAsia="宋体" w:cs="宋体"/>
                <w:b/>
                <w:bCs/>
                <w:sz w:val="24"/>
              </w:rPr>
            </w:pPr>
            <w:r>
              <w:rPr>
                <w:rFonts w:hint="eastAsia" w:ascii="宋体" w:hAnsi="宋体"/>
                <w:b/>
                <w:bCs/>
                <w:szCs w:val="21"/>
              </w:rPr>
              <w:t>故障现象</w:t>
            </w:r>
          </w:p>
        </w:tc>
        <w:tc>
          <w:tcPr>
            <w:tcW w:w="3470" w:type="dxa"/>
            <w:vAlign w:val="center"/>
          </w:tcPr>
          <w:p w14:paraId="7C804159">
            <w:pPr>
              <w:spacing w:line="360" w:lineRule="auto"/>
              <w:jc w:val="both"/>
              <w:rPr>
                <w:rFonts w:hint="eastAsia" w:ascii="宋体" w:hAnsi="宋体" w:eastAsia="宋体" w:cs="宋体"/>
                <w:b/>
                <w:bCs/>
                <w:sz w:val="24"/>
              </w:rPr>
            </w:pPr>
            <w:r>
              <w:rPr>
                <w:rFonts w:hint="eastAsia" w:ascii="宋体" w:hAnsi="宋体"/>
                <w:b/>
                <w:bCs/>
                <w:szCs w:val="21"/>
              </w:rPr>
              <w:t>响应时间</w:t>
            </w:r>
          </w:p>
        </w:tc>
      </w:tr>
      <w:tr w14:paraId="3711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0056EAF">
            <w:pPr>
              <w:spacing w:line="360" w:lineRule="auto"/>
              <w:jc w:val="both"/>
              <w:rPr>
                <w:rFonts w:hint="eastAsia" w:ascii="宋体" w:hAnsi="宋体" w:eastAsia="宋体" w:cs="宋体"/>
                <w:bCs/>
                <w:sz w:val="24"/>
              </w:rPr>
            </w:pPr>
            <w:r>
              <w:rPr>
                <w:rFonts w:hint="eastAsia" w:ascii="宋体" w:hAnsi="宋体"/>
                <w:bCs/>
                <w:szCs w:val="21"/>
              </w:rPr>
              <w:t>1</w:t>
            </w:r>
          </w:p>
        </w:tc>
        <w:tc>
          <w:tcPr>
            <w:tcW w:w="1435" w:type="dxa"/>
            <w:vAlign w:val="center"/>
          </w:tcPr>
          <w:p w14:paraId="22C7B52B">
            <w:pPr>
              <w:spacing w:line="360" w:lineRule="auto"/>
              <w:jc w:val="both"/>
              <w:rPr>
                <w:rFonts w:hint="eastAsia" w:ascii="宋体" w:hAnsi="宋体" w:eastAsia="宋体" w:cs="宋体"/>
                <w:bCs/>
                <w:sz w:val="24"/>
                <w:szCs w:val="24"/>
              </w:rPr>
            </w:pPr>
            <w:r>
              <w:rPr>
                <w:rFonts w:hint="eastAsia" w:ascii="宋体" w:hAnsi="宋体"/>
                <w:bCs/>
                <w:sz w:val="24"/>
                <w:szCs w:val="24"/>
              </w:rPr>
              <w:t>I级故障</w:t>
            </w:r>
          </w:p>
        </w:tc>
        <w:tc>
          <w:tcPr>
            <w:tcW w:w="3243" w:type="dxa"/>
            <w:vAlign w:val="top"/>
          </w:tcPr>
          <w:p w14:paraId="0FA49A82">
            <w:pPr>
              <w:spacing w:line="360" w:lineRule="auto"/>
              <w:jc w:val="both"/>
              <w:rPr>
                <w:rFonts w:hint="eastAsia" w:ascii="宋体" w:hAnsi="宋体" w:eastAsia="宋体" w:cs="宋体"/>
                <w:bCs/>
                <w:sz w:val="24"/>
                <w:szCs w:val="24"/>
              </w:rPr>
            </w:pPr>
            <w:r>
              <w:rPr>
                <w:rFonts w:hint="eastAsia" w:ascii="宋体" w:hAnsi="宋体"/>
                <w:bCs/>
                <w:sz w:val="24"/>
                <w:szCs w:val="24"/>
              </w:rPr>
              <w:t>整个</w:t>
            </w:r>
            <w:r>
              <w:rPr>
                <w:rFonts w:hint="eastAsia" w:ascii="宋体" w:hAnsi="宋体"/>
                <w:bCs/>
                <w:sz w:val="24"/>
                <w:szCs w:val="24"/>
                <w:lang w:eastAsia="zh-CN"/>
              </w:rPr>
              <w:t>程序</w:t>
            </w:r>
            <w:r>
              <w:rPr>
                <w:rFonts w:hint="eastAsia" w:ascii="宋体" w:hAnsi="宋体"/>
                <w:bCs/>
                <w:sz w:val="24"/>
                <w:szCs w:val="24"/>
              </w:rPr>
              <w:t>处于完全瘫痪状态，不能运行。</w:t>
            </w:r>
          </w:p>
        </w:tc>
        <w:tc>
          <w:tcPr>
            <w:tcW w:w="3470" w:type="dxa"/>
            <w:vAlign w:val="center"/>
          </w:tcPr>
          <w:p w14:paraId="70BB0284">
            <w:pPr>
              <w:spacing w:line="360" w:lineRule="auto"/>
              <w:jc w:val="both"/>
              <w:rPr>
                <w:rFonts w:hint="eastAsia" w:ascii="宋体" w:hAnsi="宋体" w:eastAsia="宋体" w:cs="宋体"/>
                <w:bCs/>
                <w:sz w:val="24"/>
                <w:szCs w:val="24"/>
              </w:rPr>
            </w:pPr>
            <w:r>
              <w:rPr>
                <w:rFonts w:hint="eastAsia" w:ascii="宋体" w:hAnsi="宋体"/>
                <w:bCs/>
                <w:sz w:val="24"/>
                <w:szCs w:val="24"/>
              </w:rPr>
              <w:t>技术服务人员立即响应，1个小时之内到达现场。</w:t>
            </w:r>
            <w:r>
              <w:rPr>
                <w:rFonts w:hint="eastAsia" w:ascii="宋体" w:hAnsi="宋体"/>
                <w:bCs/>
                <w:sz w:val="24"/>
                <w:szCs w:val="24"/>
                <w:lang w:val="en-US" w:eastAsia="zh-CN"/>
              </w:rPr>
              <w:t>4小时内恢复程序正常运行</w:t>
            </w:r>
            <w:r>
              <w:rPr>
                <w:rFonts w:hint="eastAsia" w:ascii="宋体" w:hAnsi="宋体"/>
                <w:bCs/>
                <w:sz w:val="24"/>
                <w:szCs w:val="24"/>
              </w:rPr>
              <w:t>。</w:t>
            </w:r>
          </w:p>
        </w:tc>
      </w:tr>
      <w:tr w14:paraId="4980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0F9E9CB">
            <w:pPr>
              <w:spacing w:line="360" w:lineRule="auto"/>
              <w:jc w:val="both"/>
              <w:rPr>
                <w:rFonts w:hint="eastAsia" w:ascii="宋体" w:hAnsi="宋体" w:eastAsia="宋体" w:cs="宋体"/>
                <w:bCs/>
                <w:sz w:val="24"/>
              </w:rPr>
            </w:pPr>
            <w:r>
              <w:rPr>
                <w:rFonts w:hint="eastAsia" w:ascii="宋体" w:hAnsi="宋体"/>
                <w:bCs/>
                <w:szCs w:val="21"/>
              </w:rPr>
              <w:t>2</w:t>
            </w:r>
          </w:p>
        </w:tc>
        <w:tc>
          <w:tcPr>
            <w:tcW w:w="1435" w:type="dxa"/>
            <w:vAlign w:val="center"/>
          </w:tcPr>
          <w:p w14:paraId="0B8340A1">
            <w:pPr>
              <w:spacing w:line="360" w:lineRule="auto"/>
              <w:jc w:val="both"/>
              <w:rPr>
                <w:rFonts w:hint="eastAsia" w:ascii="宋体" w:hAnsi="宋体" w:eastAsia="宋体" w:cs="宋体"/>
                <w:bCs/>
                <w:sz w:val="24"/>
                <w:szCs w:val="24"/>
              </w:rPr>
            </w:pPr>
            <w:r>
              <w:rPr>
                <w:rFonts w:hint="eastAsia" w:ascii="宋体" w:hAnsi="宋体"/>
                <w:bCs/>
                <w:sz w:val="24"/>
                <w:szCs w:val="24"/>
              </w:rPr>
              <w:t>II级故障</w:t>
            </w:r>
          </w:p>
        </w:tc>
        <w:tc>
          <w:tcPr>
            <w:tcW w:w="3243" w:type="dxa"/>
            <w:vAlign w:val="top"/>
          </w:tcPr>
          <w:p w14:paraId="0D81474E">
            <w:pPr>
              <w:spacing w:line="360" w:lineRule="auto"/>
              <w:jc w:val="both"/>
              <w:rPr>
                <w:rFonts w:hint="eastAsia" w:ascii="宋体" w:hAnsi="宋体" w:eastAsia="宋体" w:cs="宋体"/>
                <w:bCs/>
                <w:sz w:val="24"/>
                <w:szCs w:val="24"/>
              </w:rPr>
            </w:pPr>
            <w:r>
              <w:rPr>
                <w:rFonts w:hint="eastAsia" w:ascii="宋体" w:hAnsi="宋体"/>
                <w:bCs/>
                <w:sz w:val="24"/>
                <w:szCs w:val="24"/>
                <w:lang w:eastAsia="zh-CN"/>
              </w:rPr>
              <w:t>程序</w:t>
            </w:r>
            <w:r>
              <w:rPr>
                <w:rFonts w:hint="eastAsia" w:ascii="宋体" w:hAnsi="宋体"/>
                <w:bCs/>
                <w:sz w:val="24"/>
                <w:szCs w:val="24"/>
              </w:rPr>
              <w:t>部分功能出现故障，但整个</w:t>
            </w:r>
            <w:r>
              <w:rPr>
                <w:rFonts w:hint="eastAsia" w:ascii="宋体" w:hAnsi="宋体"/>
                <w:bCs/>
                <w:sz w:val="24"/>
                <w:szCs w:val="24"/>
                <w:lang w:eastAsia="zh-CN"/>
              </w:rPr>
              <w:t>程序</w:t>
            </w:r>
            <w:r>
              <w:rPr>
                <w:rFonts w:hint="eastAsia" w:ascii="宋体" w:hAnsi="宋体"/>
                <w:bCs/>
                <w:sz w:val="24"/>
                <w:szCs w:val="24"/>
              </w:rPr>
              <w:t>仍可正常运行，医院业务运作受到一定影响。</w:t>
            </w:r>
          </w:p>
        </w:tc>
        <w:tc>
          <w:tcPr>
            <w:tcW w:w="3470" w:type="dxa"/>
            <w:vAlign w:val="center"/>
          </w:tcPr>
          <w:p w14:paraId="4FB28F3E">
            <w:pPr>
              <w:spacing w:line="360" w:lineRule="auto"/>
              <w:jc w:val="both"/>
              <w:rPr>
                <w:rFonts w:hint="eastAsia" w:ascii="宋体" w:hAnsi="宋体" w:eastAsia="宋体" w:cs="宋体"/>
                <w:bCs/>
                <w:sz w:val="24"/>
                <w:szCs w:val="24"/>
              </w:rPr>
            </w:pPr>
            <w:r>
              <w:rPr>
                <w:rFonts w:hint="eastAsia" w:ascii="宋体" w:hAnsi="宋体"/>
                <w:bCs/>
                <w:sz w:val="24"/>
                <w:szCs w:val="24"/>
              </w:rPr>
              <w:t>技术服务人员在30分钟之内响应，2小时内到达现场。</w:t>
            </w:r>
            <w:r>
              <w:rPr>
                <w:rFonts w:hint="eastAsia" w:ascii="宋体" w:hAnsi="宋体"/>
                <w:bCs/>
                <w:sz w:val="24"/>
                <w:szCs w:val="24"/>
                <w:lang w:val="en-US" w:eastAsia="zh-CN"/>
              </w:rPr>
              <w:t>10小时内恢复程序正常运行</w:t>
            </w:r>
            <w:r>
              <w:rPr>
                <w:rFonts w:hint="eastAsia" w:ascii="宋体" w:hAnsi="宋体"/>
                <w:bCs/>
                <w:sz w:val="24"/>
                <w:szCs w:val="24"/>
              </w:rPr>
              <w:t>。</w:t>
            </w:r>
          </w:p>
        </w:tc>
      </w:tr>
      <w:tr w14:paraId="1477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AC0BE75">
            <w:pPr>
              <w:spacing w:line="360" w:lineRule="auto"/>
              <w:jc w:val="both"/>
              <w:rPr>
                <w:rFonts w:hint="eastAsia" w:ascii="宋体" w:hAnsi="宋体" w:eastAsia="宋体" w:cs="宋体"/>
                <w:bCs/>
                <w:sz w:val="24"/>
              </w:rPr>
            </w:pPr>
            <w:r>
              <w:rPr>
                <w:rFonts w:hint="eastAsia" w:ascii="宋体" w:hAnsi="宋体"/>
                <w:bCs/>
                <w:szCs w:val="21"/>
              </w:rPr>
              <w:t>3</w:t>
            </w:r>
          </w:p>
        </w:tc>
        <w:tc>
          <w:tcPr>
            <w:tcW w:w="1435" w:type="dxa"/>
            <w:vAlign w:val="center"/>
          </w:tcPr>
          <w:p w14:paraId="00EE236F">
            <w:pPr>
              <w:spacing w:line="360" w:lineRule="auto"/>
              <w:jc w:val="both"/>
              <w:rPr>
                <w:rFonts w:hint="eastAsia" w:ascii="宋体" w:hAnsi="宋体" w:eastAsia="宋体" w:cs="宋体"/>
                <w:bCs/>
                <w:sz w:val="24"/>
                <w:szCs w:val="24"/>
              </w:rPr>
            </w:pPr>
            <w:r>
              <w:rPr>
                <w:rFonts w:hint="eastAsia" w:ascii="宋体" w:hAnsi="宋体"/>
                <w:bCs/>
                <w:sz w:val="24"/>
                <w:szCs w:val="24"/>
              </w:rPr>
              <w:t>III级故障</w:t>
            </w:r>
          </w:p>
        </w:tc>
        <w:tc>
          <w:tcPr>
            <w:tcW w:w="3243" w:type="dxa"/>
            <w:vAlign w:val="top"/>
          </w:tcPr>
          <w:p w14:paraId="621DC480">
            <w:pPr>
              <w:spacing w:line="360" w:lineRule="auto"/>
              <w:jc w:val="both"/>
              <w:rPr>
                <w:rFonts w:hint="eastAsia" w:ascii="宋体" w:hAnsi="宋体" w:eastAsia="宋体" w:cs="宋体"/>
                <w:bCs/>
                <w:sz w:val="24"/>
                <w:szCs w:val="24"/>
              </w:rPr>
            </w:pPr>
            <w:r>
              <w:rPr>
                <w:rFonts w:hint="eastAsia" w:ascii="宋体" w:hAnsi="宋体"/>
                <w:bCs/>
                <w:sz w:val="24"/>
                <w:szCs w:val="24"/>
              </w:rPr>
              <w:t>需要产品功能安装或配置方面的技术支持，对客户的业务运作影响</w:t>
            </w:r>
            <w:r>
              <w:rPr>
                <w:rFonts w:hint="eastAsia" w:ascii="宋体" w:hAnsi="宋体"/>
                <w:bCs/>
                <w:sz w:val="24"/>
                <w:szCs w:val="24"/>
                <w:lang w:eastAsia="zh-CN"/>
              </w:rPr>
              <w:t>较小</w:t>
            </w:r>
            <w:r>
              <w:rPr>
                <w:rFonts w:hint="eastAsia" w:ascii="宋体" w:hAnsi="宋体"/>
                <w:bCs/>
                <w:sz w:val="24"/>
                <w:szCs w:val="24"/>
              </w:rPr>
              <w:t>。</w:t>
            </w:r>
          </w:p>
        </w:tc>
        <w:tc>
          <w:tcPr>
            <w:tcW w:w="3470" w:type="dxa"/>
            <w:vAlign w:val="center"/>
          </w:tcPr>
          <w:p w14:paraId="68C42741">
            <w:pPr>
              <w:spacing w:line="360" w:lineRule="auto"/>
              <w:jc w:val="both"/>
              <w:rPr>
                <w:rFonts w:hint="eastAsia" w:ascii="宋体" w:hAnsi="宋体" w:eastAsia="宋体" w:cs="宋体"/>
                <w:bCs/>
                <w:sz w:val="24"/>
                <w:szCs w:val="24"/>
              </w:rPr>
            </w:pPr>
            <w:r>
              <w:rPr>
                <w:rFonts w:hint="eastAsia" w:ascii="宋体" w:hAnsi="宋体"/>
                <w:bCs/>
                <w:sz w:val="24"/>
                <w:szCs w:val="24"/>
              </w:rPr>
              <w:t>技术服务人员在6小时之内响应，按客户约定时间到达现场，最短时间内配合处理问题。</w:t>
            </w:r>
          </w:p>
        </w:tc>
      </w:tr>
    </w:tbl>
    <w:p w14:paraId="24DE055B">
      <w:pPr>
        <w:pStyle w:val="2"/>
        <w:ind w:left="0" w:leftChars="0" w:firstLine="240" w:firstLineChars="100"/>
        <w:jc w:val="both"/>
        <w:rPr>
          <w:rFonts w:hint="eastAsia" w:ascii="宋体" w:hAnsi="宋体" w:eastAsia="宋体" w:cs="宋体"/>
          <w:sz w:val="24"/>
          <w:lang w:val="en-US" w:eastAsia="zh-CN"/>
        </w:rPr>
      </w:pPr>
    </w:p>
    <w:p w14:paraId="07ABDCAD">
      <w:pPr>
        <w:pStyle w:val="164"/>
        <w:numPr>
          <w:ilvl w:val="0"/>
          <w:numId w:val="0"/>
        </w:numPr>
        <w:spacing w:before="0" w:after="0"/>
        <w:ind w:leftChars="117"/>
        <w:jc w:val="both"/>
        <w:rPr>
          <w:rFonts w:hint="eastAsia" w:ascii="宋体" w:hAnsi="宋体" w:eastAsia="宋体" w:cs="宋体"/>
          <w:sz w:val="24"/>
          <w:szCs w:val="24"/>
          <w:lang w:val="en-US" w:eastAsia="zh-CN"/>
        </w:rPr>
      </w:pPr>
      <w:r>
        <w:rPr>
          <w:rFonts w:hint="eastAsia" w:ascii="宋体" w:hAnsi="宋体" w:eastAsia="宋体" w:cs="宋体"/>
          <w:b/>
          <w:bCs/>
          <w:color w:val="auto"/>
          <w:sz w:val="24"/>
          <w:szCs w:val="24"/>
          <w:lang w:val="en-US" w:eastAsia="zh-CN"/>
        </w:rPr>
        <w:t>1.8 运维服务形式</w:t>
      </w:r>
      <w:r>
        <w:rPr>
          <w:rFonts w:hint="eastAsia" w:ascii="宋体" w:hAnsi="宋体" w:eastAsia="宋体" w:cs="宋体"/>
          <w:sz w:val="24"/>
          <w:szCs w:val="24"/>
          <w:lang w:val="en-US" w:eastAsia="zh-CN"/>
        </w:rPr>
        <w:t>：</w:t>
      </w:r>
    </w:p>
    <w:p w14:paraId="229A99FC">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1.8.1 远程维护，即需方</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出现故障时，供方通过电话、远程访问等方式进行</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故障的处理、技术支持、咨询服务等工作。</w:t>
      </w:r>
    </w:p>
    <w:p w14:paraId="69833707">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1.8.2 按季度巡检并形成运维记录，即本合同期限内，供方每季度指定专业技术人员对</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进行全面检查优化，同时做好</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运行情况记录。对可能出现的故障提出解决预案及</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功能改进等方面的技术咨询工作，在现场对需方人员进行</w:t>
      </w:r>
      <w:r>
        <w:rPr>
          <w:rFonts w:hint="eastAsia" w:ascii="宋体" w:hAnsi="宋体" w:cs="宋体"/>
          <w:bCs/>
          <w:kern w:val="0"/>
          <w:sz w:val="24"/>
          <w:lang w:val="en-US" w:eastAsia="zh-CN"/>
        </w:rPr>
        <w:t>程序</w:t>
      </w:r>
      <w:r>
        <w:rPr>
          <w:rFonts w:hint="eastAsia" w:ascii="宋体" w:hAnsi="宋体" w:eastAsia="宋体" w:cs="宋体"/>
          <w:bCs/>
          <w:kern w:val="0"/>
          <w:sz w:val="24"/>
          <w:lang w:val="en-US" w:eastAsia="zh-CN"/>
        </w:rPr>
        <w:t>运行管理、日常维护等方面的培训。在次月10日前将有使用部门签字的巡检记录提交至信息中心。</w:t>
      </w:r>
    </w:p>
    <w:p w14:paraId="61464176">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1.8.3 本合同签订后，对于需方提出的任何运维服务，供方人员需严格填写运维服务记录单，并由双方签字认可。</w:t>
      </w:r>
    </w:p>
    <w:p w14:paraId="751A4D61">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1.8.4 供方为需方提供电话技术支持服务要求为7×24小时。</w:t>
      </w:r>
    </w:p>
    <w:p w14:paraId="22750C18">
      <w:pPr>
        <w:pStyle w:val="2"/>
        <w:spacing w:line="360" w:lineRule="auto"/>
        <w:ind w:left="0" w:leftChars="0" w:firstLine="241" w:firstLineChars="100"/>
        <w:jc w:val="both"/>
        <w:rPr>
          <w:rFonts w:hint="eastAsia" w:ascii="宋体" w:hAnsi="宋体" w:eastAsia="宋体" w:cs="宋体"/>
          <w:b/>
          <w:bCs/>
          <w:sz w:val="24"/>
          <w:lang w:val="en-US" w:eastAsia="zh-CN"/>
        </w:rPr>
      </w:pPr>
      <w:r>
        <w:rPr>
          <w:rFonts w:hint="eastAsia" w:ascii="宋体" w:hAnsi="宋体" w:eastAsia="宋体" w:cs="宋体"/>
          <w:b/>
          <w:bCs/>
          <w:kern w:val="2"/>
          <w:sz w:val="24"/>
          <w:szCs w:val="24"/>
          <w:lang w:val="en-US" w:eastAsia="zh-CN" w:bidi="ar-SA"/>
        </w:rPr>
        <w:t>1.9  供方违约责任：</w:t>
      </w:r>
    </w:p>
    <w:p w14:paraId="55500278">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1.9.1 供方提供服务不符合合同约定，负责返工或提供补救措施，但需方使用、保管不当造成设备损坏或由于需方原因造成缺陷的除外。</w:t>
      </w:r>
    </w:p>
    <w:p w14:paraId="16D80045">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1.9.2 供方未按照合同约定完成定期巡检服务，需方每次扣除履约保证金的20%（百分之二十）。</w:t>
      </w:r>
    </w:p>
    <w:p w14:paraId="07345CC4">
      <w:pPr>
        <w:spacing w:line="360" w:lineRule="auto"/>
        <w:ind w:firstLine="480" w:firstLineChars="200"/>
        <w:jc w:val="both"/>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1.9.3 供方未在规定期间完成呼叫响应服务，需方每次扣除履约保证金的3%（百分之三）。</w:t>
      </w:r>
    </w:p>
    <w:p w14:paraId="11D24E1B">
      <w:pPr>
        <w:pStyle w:val="2"/>
        <w:spacing w:line="360" w:lineRule="auto"/>
        <w:ind w:left="0" w:leftChars="0" w:firstLine="420" w:firstLineChars="175"/>
        <w:jc w:val="both"/>
        <w:rPr>
          <w:rFonts w:hint="default" w:ascii="宋体" w:hAnsi="宋体" w:eastAsia="宋体" w:cs="宋体"/>
          <w:bCs/>
          <w:kern w:val="0"/>
          <w:sz w:val="24"/>
          <w:szCs w:val="24"/>
          <w:lang w:val="en-US" w:eastAsia="zh-CN" w:bidi="ar-SA"/>
          <w14:ligatures w14:val="standardContextual"/>
        </w:rPr>
      </w:pPr>
      <w:r>
        <w:rPr>
          <w:rFonts w:hint="eastAsia" w:ascii="宋体" w:hAnsi="宋体" w:eastAsia="宋体" w:cs="宋体"/>
          <w:b w:val="0"/>
          <w:bCs w:val="0"/>
          <w:sz w:val="24"/>
          <w:szCs w:val="24"/>
          <w:lang w:val="en-US" w:eastAsia="zh-CN"/>
        </w:rPr>
        <w:t>1</w:t>
      </w:r>
      <w:r>
        <w:rPr>
          <w:rFonts w:hint="eastAsia" w:ascii="宋体" w:hAnsi="宋体" w:eastAsia="宋体" w:cs="宋体"/>
          <w:bCs/>
          <w:kern w:val="0"/>
          <w:sz w:val="24"/>
          <w:szCs w:val="24"/>
          <w:lang w:val="en-US" w:eastAsia="zh-CN" w:bidi="ar-SA"/>
          <w14:ligatures w14:val="standardContextual"/>
        </w:rPr>
        <w:t>.9.4 如供方未按照合同约定时间完成项目系统建设，应向需方支付违约金，违约金为每逾期一天，按合同价款的百分之一计算，需方可从应付货款中扣除。逾期超过七天的，视为根本违约。</w:t>
      </w:r>
    </w:p>
    <w:p w14:paraId="3E86364B">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337FC637">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8"/>
        <w:spacing w:before="0" w:after="0"/>
        <w:jc w:val="center"/>
        <w:rPr>
          <w:rFonts w:hint="eastAsia"/>
          <w:color w:val="auto"/>
          <w:sz w:val="28"/>
          <w:szCs w:val="36"/>
          <w:highlight w:val="none"/>
        </w:rPr>
      </w:pPr>
      <w:bookmarkStart w:id="2" w:name="_Toc2479"/>
      <w:bookmarkStart w:id="3" w:name="_Toc902"/>
    </w:p>
    <w:p w14:paraId="429A44DC">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4"/>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4"/>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4"/>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4"/>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4"/>
        <w:rPr>
          <w:rFonts w:ascii="宋体"/>
          <w:sz w:val="24"/>
        </w:rPr>
      </w:pPr>
      <w:r>
        <w:rPr>
          <w:rFonts w:ascii="宋体"/>
          <w:sz w:val="24"/>
        </w:rPr>
        <w:br w:type="page"/>
      </w:r>
    </w:p>
    <w:p w14:paraId="141453CB">
      <w:pPr>
        <w:jc w:val="center"/>
        <w:rPr>
          <w:rFonts w:ascii="宋体"/>
          <w:color w:val="auto"/>
          <w:highlight w:val="none"/>
        </w:rPr>
      </w:pPr>
    </w:p>
    <w:p w14:paraId="2956260B">
      <w:pPr>
        <w:pStyle w:val="8"/>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296C5282">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8"/>
        <w:spacing w:before="0" w:after="0"/>
        <w:jc w:val="center"/>
        <w:rPr>
          <w:rFonts w:hint="eastAsia"/>
          <w:color w:val="auto"/>
          <w:sz w:val="28"/>
          <w:szCs w:val="28"/>
          <w:highlight w:val="none"/>
        </w:rPr>
      </w:pPr>
      <w:bookmarkStart w:id="8" w:name="_Toc11890"/>
      <w:bookmarkStart w:id="9" w:name="_Toc4559"/>
      <w:bookmarkStart w:id="10" w:name="_Toc26111"/>
    </w:p>
    <w:p w14:paraId="7B9B40F4">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8"/>
        <w:spacing w:before="0" w:after="0"/>
        <w:jc w:val="center"/>
        <w:rPr>
          <w:rFonts w:hint="eastAsia"/>
          <w:color w:val="auto"/>
          <w:sz w:val="28"/>
          <w:szCs w:val="28"/>
          <w:highlight w:val="none"/>
        </w:rPr>
      </w:pPr>
      <w:bookmarkStart w:id="11" w:name="_Toc19319"/>
      <w:bookmarkStart w:id="12" w:name="_Toc24403"/>
      <w:bookmarkStart w:id="13" w:name="_Toc569"/>
    </w:p>
    <w:p w14:paraId="3C75F609">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972"/>
      <w:bookmarkStart w:id="15" w:name="_Toc10542"/>
    </w:p>
    <w:p w14:paraId="11FCB31D">
      <w:pPr>
        <w:pStyle w:val="8"/>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8"/>
        <w:spacing w:before="0" w:after="0"/>
        <w:jc w:val="center"/>
        <w:rPr>
          <w:rFonts w:hint="eastAsia"/>
          <w:color w:val="auto"/>
          <w:sz w:val="28"/>
          <w:highlight w:val="none"/>
        </w:rPr>
      </w:pPr>
      <w:bookmarkStart w:id="17" w:name="_Toc8953"/>
      <w:bookmarkStart w:id="18" w:name="_Toc32668"/>
      <w:bookmarkStart w:id="19" w:name="_Toc31728"/>
    </w:p>
    <w:p w14:paraId="21CAA989">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4"/>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446857C4">
      <w:pPr>
        <w:pStyle w:val="8"/>
        <w:spacing w:before="0" w:after="0"/>
        <w:jc w:val="center"/>
        <w:rPr>
          <w:rFonts w:hint="eastAsia"/>
          <w:color w:val="auto"/>
          <w:sz w:val="28"/>
          <w:szCs w:val="36"/>
          <w:highlight w:val="none"/>
          <w:lang w:eastAsia="zh-CN"/>
        </w:rPr>
      </w:pPr>
    </w:p>
    <w:p w14:paraId="02223799">
      <w:pPr>
        <w:pStyle w:val="8"/>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9"/>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8"/>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9"/>
        <w:rPr>
          <w:rFonts w:hint="eastAsia"/>
          <w:lang w:eastAsia="zh-CN"/>
        </w:rPr>
      </w:pPr>
    </w:p>
    <w:p w14:paraId="3D815568">
      <w:pPr>
        <w:pStyle w:val="8"/>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8"/>
        <w:spacing w:before="0" w:after="0"/>
        <w:jc w:val="center"/>
        <w:rPr>
          <w:rFonts w:hint="eastAsia"/>
          <w:color w:val="auto"/>
          <w:sz w:val="28"/>
          <w:highlight w:val="none"/>
          <w:lang w:eastAsia="zh-CN"/>
        </w:rPr>
      </w:pPr>
      <w:bookmarkStart w:id="27" w:name="_Toc11563"/>
    </w:p>
    <w:p w14:paraId="12BF41BA">
      <w:pPr>
        <w:pStyle w:val="8"/>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12"/>
        <w:spacing w:line="360" w:lineRule="auto"/>
        <w:ind w:firstLine="240" w:firstLineChars="100"/>
        <w:rPr>
          <w:rFonts w:hint="eastAsia" w:ascii="宋体" w:hAnsi="宋体"/>
          <w:bCs/>
          <w:sz w:val="24"/>
          <w:szCs w:val="24"/>
        </w:rPr>
      </w:pPr>
    </w:p>
    <w:p w14:paraId="2600FBBB">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0"/>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C75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7AA7BAB">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完工期限</w:t>
            </w:r>
          </w:p>
        </w:tc>
        <w:tc>
          <w:tcPr>
            <w:tcW w:w="6780" w:type="dxa"/>
            <w:vAlign w:val="center"/>
          </w:tcPr>
          <w:p w14:paraId="3925CE9C">
            <w:pPr>
              <w:tabs>
                <w:tab w:val="left" w:pos="926"/>
                <w:tab w:val="left" w:pos="4335"/>
                <w:tab w:val="left" w:pos="4515"/>
                <w:tab w:val="left" w:pos="7227"/>
              </w:tabs>
              <w:spacing w:line="360" w:lineRule="auto"/>
              <w:jc w:val="center"/>
              <w:rPr>
                <w:rFonts w:hint="eastAsia"/>
                <w:sz w:val="24"/>
                <w:szCs w:val="24"/>
                <w:u w:val="none"/>
                <w:lang w:val="en-US" w:eastAsia="zh-CN"/>
              </w:rPr>
            </w:pPr>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日历天</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年</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12"/>
        <w:ind w:firstLine="0"/>
        <w:jc w:val="center"/>
        <w:outlineLvl w:val="2"/>
        <w:rPr>
          <w:rFonts w:hint="eastAsia" w:ascii="宋体" w:hAnsi="宋体"/>
          <w:b/>
          <w:bCs/>
          <w:sz w:val="30"/>
          <w:szCs w:val="30"/>
          <w:lang w:val="en-US" w:eastAsia="zh-CN"/>
        </w:rPr>
      </w:pPr>
    </w:p>
    <w:p w14:paraId="7A1433F6">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2"/>
        <w:tabs>
          <w:tab w:val="left" w:pos="945"/>
          <w:tab w:val="left" w:pos="1155"/>
        </w:tabs>
        <w:ind w:firstLine="0" w:firstLineChars="0"/>
        <w:rPr>
          <w:rFonts w:hint="eastAsia"/>
        </w:rPr>
      </w:pPr>
    </w:p>
    <w:p w14:paraId="1415C0DD">
      <w:pPr>
        <w:pStyle w:val="2"/>
        <w:tabs>
          <w:tab w:val="left" w:pos="945"/>
          <w:tab w:val="left" w:pos="1155"/>
        </w:tabs>
        <w:ind w:firstLine="0" w:firstLineChars="0"/>
        <w:rPr>
          <w:rFonts w:hint="eastAsia"/>
        </w:rPr>
      </w:pPr>
    </w:p>
    <w:p w14:paraId="626AB2D7">
      <w:pPr>
        <w:pStyle w:val="2"/>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8"/>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4"/>
        <w:jc w:val="center"/>
        <w:outlineLvl w:val="1"/>
        <w:rPr>
          <w:b/>
          <w:color w:val="auto"/>
          <w:sz w:val="32"/>
          <w:szCs w:val="32"/>
        </w:rPr>
      </w:pPr>
    </w:p>
    <w:p w14:paraId="3800FBF1">
      <w:pPr>
        <w:pStyle w:val="14"/>
        <w:jc w:val="center"/>
        <w:outlineLvl w:val="1"/>
        <w:rPr>
          <w:b/>
          <w:color w:val="auto"/>
          <w:sz w:val="32"/>
          <w:szCs w:val="32"/>
        </w:rPr>
      </w:pPr>
    </w:p>
    <w:p w14:paraId="50E33DB8">
      <w:pPr>
        <w:pStyle w:val="14"/>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8"/>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12"/>
        <w:jc w:val="center"/>
        <w:rPr>
          <w:rFonts w:hint="eastAsia" w:ascii="宋体" w:hAnsi="宋体"/>
          <w:b/>
          <w:bCs/>
          <w:sz w:val="24"/>
          <w:szCs w:val="24"/>
        </w:rPr>
      </w:pPr>
    </w:p>
    <w:tbl>
      <w:tblPr>
        <w:tblStyle w:val="3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12"/>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12"/>
        <w:jc w:val="center"/>
        <w:rPr>
          <w:rFonts w:hint="eastAsia" w:ascii="宋体" w:hAnsi="宋体"/>
          <w:b/>
          <w:bCs/>
          <w:sz w:val="24"/>
          <w:szCs w:val="24"/>
        </w:rPr>
      </w:pPr>
    </w:p>
    <w:tbl>
      <w:tblPr>
        <w:tblStyle w:val="30"/>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8"/>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9"/>
        <w:numPr>
          <w:ilvl w:val="0"/>
          <w:numId w:val="0"/>
        </w:numPr>
        <w:rPr>
          <w:rFonts w:hint="eastAsia"/>
          <w:highlight w:val="magenta"/>
          <w:lang w:eastAsia="zh-CN"/>
        </w:rPr>
      </w:pP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8"/>
        <w:spacing w:before="0" w:after="0"/>
        <w:jc w:val="center"/>
        <w:rPr>
          <w:rFonts w:hint="eastAsia"/>
          <w:color w:val="auto"/>
          <w:sz w:val="28"/>
          <w:highlight w:val="red"/>
          <w:lang w:val="en-US" w:eastAsia="zh-CN"/>
        </w:rPr>
      </w:pPr>
      <w:bookmarkStart w:id="31" w:name="_Toc11982"/>
      <w:bookmarkStart w:id="32" w:name="_Toc23117"/>
    </w:p>
    <w:p w14:paraId="2DADD435">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7"/>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8"/>
        <w:spacing w:before="0" w:after="0"/>
        <w:jc w:val="center"/>
        <w:rPr>
          <w:rFonts w:hint="eastAsia"/>
          <w:color w:val="auto"/>
          <w:sz w:val="28"/>
          <w:highlight w:val="magenta"/>
          <w:lang w:val="en-US" w:eastAsia="zh-CN"/>
        </w:rPr>
      </w:pPr>
      <w:bookmarkStart w:id="33" w:name="_Toc20496"/>
      <w:bookmarkStart w:id="34" w:name="_Toc23816"/>
    </w:p>
    <w:p w14:paraId="103E0DD2">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8"/>
        <w:bidi w:val="0"/>
        <w:jc w:val="center"/>
        <w:rPr>
          <w:rFonts w:hint="eastAsia"/>
          <w:color w:val="auto"/>
          <w:sz w:val="28"/>
          <w:highlight w:val="magenta"/>
          <w:lang w:val="en-US" w:eastAsia="zh-CN"/>
        </w:rPr>
      </w:pPr>
      <w:bookmarkStart w:id="35" w:name="_Toc4948"/>
      <w:bookmarkStart w:id="36" w:name="_Toc2922"/>
      <w:bookmarkStart w:id="37" w:name="_Toc349642319"/>
      <w:bookmarkStart w:id="38" w:name="_Toc12801"/>
      <w:bookmarkStart w:id="39" w:name="_Toc337475928"/>
      <w:bookmarkStart w:id="40" w:name="_Toc304219331"/>
      <w:bookmarkStart w:id="41" w:name="_Toc10750"/>
      <w:bookmarkStart w:id="42" w:name="_Toc28583"/>
      <w:bookmarkStart w:id="43" w:name="_Toc4599"/>
      <w:bookmarkStart w:id="44" w:name="_Toc320878714"/>
      <w:bookmarkStart w:id="45" w:name="_Toc29526"/>
      <w:bookmarkStart w:id="46" w:name="_Toc15867"/>
      <w:bookmarkStart w:id="47" w:name="_Toc337554798"/>
      <w:bookmarkStart w:id="48" w:name="_Toc30765"/>
    </w:p>
    <w:p w14:paraId="5CC9BA02">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7"/>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7"/>
        <w:ind w:left="0" w:leftChars="0" w:firstLine="0" w:firstLineChars="0"/>
        <w:jc w:val="both"/>
        <w:rPr>
          <w:rFonts w:hint="eastAsia"/>
          <w:lang w:val="en-US" w:eastAsia="zh-CN"/>
        </w:rPr>
      </w:pPr>
    </w:p>
    <w:p w14:paraId="673A56C5">
      <w:pPr>
        <w:pStyle w:val="8"/>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8"/>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8"/>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01055A00"/>
    <w:multiLevelType w:val="multilevel"/>
    <w:tmpl w:val="01055A00"/>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0AA62EF5"/>
    <w:multiLevelType w:val="multilevel"/>
    <w:tmpl w:val="0AA62EF5"/>
    <w:lvl w:ilvl="0" w:tentative="0">
      <w:start w:val="1"/>
      <w:numFmt w:val="decimal"/>
      <w:pStyle w:val="164"/>
      <w:lvlText w:val="%1"/>
      <w:lvlJc w:val="left"/>
      <w:pPr>
        <w:ind w:left="0" w:firstLine="0"/>
      </w:pPr>
      <w:rPr>
        <w:rFonts w:hint="eastAsia" w:eastAsia="宋体"/>
        <w:b/>
        <w:i w:val="0"/>
      </w:rPr>
    </w:lvl>
    <w:lvl w:ilvl="1" w:tentative="0">
      <w:start w:val="1"/>
      <w:numFmt w:val="decimal"/>
      <w:lvlText w:val="%1.%2"/>
      <w:lvlJc w:val="left"/>
      <w:pPr>
        <w:ind w:left="284" w:firstLine="0"/>
      </w:pPr>
      <w:rPr>
        <w:rFonts w:hint="eastAsia"/>
      </w:rPr>
    </w:lvl>
    <w:lvl w:ilvl="2" w:tentative="0">
      <w:start w:val="1"/>
      <w:numFmt w:val="decimal"/>
      <w:lvlText w:val="%1.%2.%3"/>
      <w:lvlJc w:val="left"/>
      <w:pPr>
        <w:ind w:left="0" w:firstLine="0"/>
      </w:pPr>
      <w:rPr>
        <w:rFonts w:hint="eastAsia"/>
        <w:sz w:val="24"/>
        <w:szCs w:val="24"/>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ascii="宋体" w:hAnsi="宋体" w:eastAsia="宋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4E6F3E41"/>
    <w:multiLevelType w:val="singleLevel"/>
    <w:tmpl w:val="4E6F3E41"/>
    <w:lvl w:ilvl="0" w:tentative="0">
      <w:start w:val="2"/>
      <w:numFmt w:val="chineseCounting"/>
      <w:suff w:val="space"/>
      <w:lvlText w:val="第%1章"/>
      <w:lvlJc w:val="left"/>
      <w:rPr>
        <w:rFonts w:hint="eastAsia"/>
      </w:rPr>
    </w:lvl>
  </w:abstractNum>
  <w:abstractNum w:abstractNumId="4">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C7F25AF"/>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7"/>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szCs w:val="22"/>
    </w:rPr>
  </w:style>
  <w:style w:type="paragraph" w:styleId="3">
    <w:name w:val="Body Text Indent"/>
    <w:basedOn w:val="1"/>
    <w:next w:val="4"/>
    <w:link w:val="55"/>
    <w:autoRedefine/>
    <w:semiHidden/>
    <w:unhideWhenUsed/>
    <w:qFormat/>
    <w:uiPriority w:val="99"/>
    <w:pPr>
      <w:spacing w:after="120"/>
      <w:ind w:left="420" w:leftChars="200"/>
    </w:pPr>
  </w:style>
  <w:style w:type="paragraph" w:styleId="4">
    <w:name w:val="annotation subject"/>
    <w:basedOn w:val="5"/>
    <w:next w:val="1"/>
    <w:qFormat/>
    <w:uiPriority w:val="0"/>
    <w:rPr>
      <w:b/>
      <w:bCs/>
    </w:rPr>
  </w:style>
  <w:style w:type="paragraph" w:styleId="5">
    <w:name w:val="annotation text"/>
    <w:basedOn w:val="1"/>
    <w:link w:val="52"/>
    <w:autoRedefine/>
    <w:qFormat/>
    <w:uiPriority w:val="0"/>
    <w:pPr>
      <w:jc w:val="left"/>
    </w:pPr>
    <w:rPr>
      <w:szCs w:val="24"/>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Body Text 3"/>
    <w:basedOn w:val="1"/>
    <w:link w:val="53"/>
    <w:autoRedefine/>
    <w:semiHidden/>
    <w:unhideWhenUsed/>
    <w:qFormat/>
    <w:uiPriority w:val="99"/>
    <w:pPr>
      <w:spacing w:after="120"/>
    </w:pPr>
    <w:rPr>
      <w:sz w:val="16"/>
      <w:szCs w:val="16"/>
    </w:rPr>
  </w:style>
  <w:style w:type="paragraph" w:styleId="14">
    <w:name w:val="Body Text"/>
    <w:basedOn w:val="1"/>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5">
    <w:name w:val="toc 3"/>
    <w:basedOn w:val="1"/>
    <w:next w:val="1"/>
    <w:autoRedefine/>
    <w:unhideWhenUsed/>
    <w:qFormat/>
    <w:uiPriority w:val="39"/>
    <w:pPr>
      <w:widowControl/>
      <w:spacing w:after="100" w:line="276" w:lineRule="auto"/>
      <w:ind w:left="440"/>
      <w:jc w:val="left"/>
    </w:pPr>
    <w:rPr>
      <w:kern w:val="0"/>
      <w:sz w:val="22"/>
    </w:rPr>
  </w:style>
  <w:style w:type="paragraph" w:styleId="16">
    <w:name w:val="Plain Text"/>
    <w:basedOn w:val="1"/>
    <w:link w:val="56"/>
    <w:autoRedefine/>
    <w:qFormat/>
    <w:uiPriority w:val="0"/>
    <w:rPr>
      <w:rFonts w:ascii="宋体" w:hAnsi="Courier New"/>
    </w:rPr>
  </w:style>
  <w:style w:type="paragraph" w:styleId="17">
    <w:name w:val="Date"/>
    <w:basedOn w:val="1"/>
    <w:next w:val="1"/>
    <w:link w:val="57"/>
    <w:autoRedefine/>
    <w:semiHidden/>
    <w:unhideWhenUsed/>
    <w:qFormat/>
    <w:uiPriority w:val="99"/>
    <w:pPr>
      <w:ind w:left="100" w:leftChars="2500"/>
    </w:pPr>
  </w:style>
  <w:style w:type="paragraph" w:styleId="18">
    <w:name w:val="Balloon Text"/>
    <w:basedOn w:val="1"/>
    <w:link w:val="138"/>
    <w:autoRedefine/>
    <w:semiHidden/>
    <w:unhideWhenUsed/>
    <w:qFormat/>
    <w:uiPriority w:val="99"/>
    <w:rPr>
      <w:sz w:val="18"/>
      <w:szCs w:val="18"/>
    </w:rPr>
  </w:style>
  <w:style w:type="paragraph" w:styleId="19">
    <w:name w:val="footer"/>
    <w:basedOn w:val="1"/>
    <w:link w:val="58"/>
    <w:autoRedefine/>
    <w:unhideWhenUsed/>
    <w:qFormat/>
    <w:uiPriority w:val="99"/>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4"/>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2"/>
    <w:rPr>
      <w:b/>
      <w:bCs/>
    </w:rPr>
  </w:style>
  <w:style w:type="character" w:styleId="34">
    <w:name w:val="FollowedHyperlink"/>
    <w:basedOn w:val="32"/>
    <w:autoRedefine/>
    <w:semiHidden/>
    <w:unhideWhenUsed/>
    <w:qFormat/>
    <w:uiPriority w:val="99"/>
    <w:rPr>
      <w:color w:val="444444"/>
      <w:sz w:val="21"/>
      <w:szCs w:val="21"/>
      <w:u w:val="none"/>
    </w:rPr>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HTML Code"/>
    <w:basedOn w:val="32"/>
    <w:autoRedefine/>
    <w:semiHidden/>
    <w:unhideWhenUsed/>
    <w:qFormat/>
    <w:uiPriority w:val="99"/>
    <w:rPr>
      <w:rFonts w:ascii="Courier New" w:hAnsi="Courier New"/>
      <w:sz w:val="20"/>
    </w:rPr>
  </w:style>
  <w:style w:type="character" w:styleId="37">
    <w:name w:val="annotation reference"/>
    <w:basedOn w:val="32"/>
    <w:autoRedefine/>
    <w:semiHidden/>
    <w:unhideWhenUsed/>
    <w:qFormat/>
    <w:uiPriority w:val="99"/>
    <w:rPr>
      <w:sz w:val="21"/>
      <w:szCs w:val="21"/>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7"/>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2"/>
    <w:link w:val="6"/>
    <w:autoRedefine/>
    <w:qFormat/>
    <w:uiPriority w:val="9"/>
    <w:rPr>
      <w:b/>
      <w:bCs/>
      <w:kern w:val="44"/>
      <w:sz w:val="44"/>
      <w:szCs w:val="44"/>
    </w:rPr>
  </w:style>
  <w:style w:type="character" w:customStyle="1" w:styleId="46">
    <w:name w:val="标题 2 Char"/>
    <w:basedOn w:val="32"/>
    <w:link w:val="7"/>
    <w:autoRedefine/>
    <w:qFormat/>
    <w:uiPriority w:val="0"/>
    <w:rPr>
      <w:rFonts w:ascii="Arial" w:hAnsi="Arial" w:eastAsia="黑体" w:cs="Times New Roman"/>
      <w:b/>
      <w:sz w:val="32"/>
      <w:szCs w:val="20"/>
    </w:rPr>
  </w:style>
  <w:style w:type="character" w:customStyle="1" w:styleId="47">
    <w:name w:val="标题 3 Char"/>
    <w:basedOn w:val="32"/>
    <w:link w:val="8"/>
    <w:autoRedefine/>
    <w:qFormat/>
    <w:uiPriority w:val="9"/>
    <w:rPr>
      <w:b/>
      <w:bCs/>
      <w:sz w:val="32"/>
      <w:szCs w:val="32"/>
    </w:rPr>
  </w:style>
  <w:style w:type="character" w:customStyle="1" w:styleId="48">
    <w:name w:val="标题 4 Char"/>
    <w:basedOn w:val="32"/>
    <w:link w:val="10"/>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2"/>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5"/>
    <w:autoRedefine/>
    <w:qFormat/>
    <w:uiPriority w:val="0"/>
    <w:rPr>
      <w:szCs w:val="24"/>
    </w:rPr>
  </w:style>
  <w:style w:type="character" w:customStyle="1" w:styleId="53">
    <w:name w:val="正文文本 3 Char"/>
    <w:basedOn w:val="32"/>
    <w:link w:val="13"/>
    <w:autoRedefine/>
    <w:semiHidden/>
    <w:qFormat/>
    <w:uiPriority w:val="99"/>
    <w:rPr>
      <w:sz w:val="16"/>
      <w:szCs w:val="16"/>
    </w:rPr>
  </w:style>
  <w:style w:type="character" w:customStyle="1" w:styleId="54">
    <w:name w:val="正文文本 Char"/>
    <w:basedOn w:val="32"/>
    <w:link w:val="14"/>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2"/>
    <w:link w:val="3"/>
    <w:autoRedefine/>
    <w:semiHidden/>
    <w:qFormat/>
    <w:uiPriority w:val="99"/>
  </w:style>
  <w:style w:type="character" w:customStyle="1" w:styleId="56">
    <w:name w:val="纯文本 Char"/>
    <w:link w:val="16"/>
    <w:autoRedefine/>
    <w:qFormat/>
    <w:uiPriority w:val="0"/>
    <w:rPr>
      <w:rFonts w:ascii="宋体" w:hAnsi="Courier New"/>
    </w:rPr>
  </w:style>
  <w:style w:type="character" w:customStyle="1" w:styleId="57">
    <w:name w:val="日期 Char"/>
    <w:basedOn w:val="32"/>
    <w:link w:val="17"/>
    <w:autoRedefine/>
    <w:semiHidden/>
    <w:qFormat/>
    <w:uiPriority w:val="99"/>
    <w:rPr>
      <w:kern w:val="2"/>
      <w:sz w:val="21"/>
      <w:szCs w:val="22"/>
    </w:rPr>
  </w:style>
  <w:style w:type="character" w:customStyle="1" w:styleId="58">
    <w:name w:val="页脚 Char"/>
    <w:basedOn w:val="32"/>
    <w:link w:val="19"/>
    <w:autoRedefine/>
    <w:qFormat/>
    <w:uiPriority w:val="99"/>
    <w:rPr>
      <w:sz w:val="18"/>
      <w:szCs w:val="18"/>
    </w:rPr>
  </w:style>
  <w:style w:type="character" w:customStyle="1" w:styleId="59">
    <w:name w:val="页眉 Char"/>
    <w:basedOn w:val="32"/>
    <w:link w:val="21"/>
    <w:autoRedefine/>
    <w:qFormat/>
    <w:uiPriority w:val="99"/>
    <w:rPr>
      <w:sz w:val="18"/>
      <w:szCs w:val="18"/>
    </w:rPr>
  </w:style>
  <w:style w:type="character" w:customStyle="1" w:styleId="60">
    <w:name w:val="副标题 Char"/>
    <w:basedOn w:val="32"/>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2"/>
    <w:autoRedefine/>
    <w:semiHidden/>
    <w:qFormat/>
    <w:uiPriority w:val="99"/>
  </w:style>
  <w:style w:type="character" w:customStyle="1" w:styleId="65">
    <w:name w:val="纯文本 Char1"/>
    <w:basedOn w:val="32"/>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2"/>
    <w:link w:val="18"/>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2"/>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2"/>
    <w:autoRedefine/>
    <w:qFormat/>
    <w:uiPriority w:val="0"/>
  </w:style>
  <w:style w:type="character" w:customStyle="1" w:styleId="145">
    <w:name w:val="hover17"/>
    <w:basedOn w:val="32"/>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2"/>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2"/>
    <w:autoRedefine/>
    <w:qFormat/>
    <w:uiPriority w:val="0"/>
    <w:rPr>
      <w:shd w:val="clear" w:fill="2D4F80"/>
    </w:rPr>
  </w:style>
  <w:style w:type="character" w:customStyle="1" w:styleId="160">
    <w:name w:val="first-child"/>
    <w:basedOn w:val="32"/>
    <w:autoRedefine/>
    <w:qFormat/>
    <w:uiPriority w:val="0"/>
    <w:rPr>
      <w:rFonts w:ascii="Arial" w:hAnsi="Arial" w:cs="Arial"/>
      <w:sz w:val="57"/>
      <w:szCs w:val="57"/>
    </w:rPr>
  </w:style>
  <w:style w:type="character" w:customStyle="1" w:styleId="161">
    <w:name w:val="first-child1"/>
    <w:basedOn w:val="32"/>
    <w:autoRedefine/>
    <w:qFormat/>
    <w:uiPriority w:val="0"/>
    <w:rPr>
      <w:color w:val="999999"/>
    </w:rPr>
  </w:style>
  <w:style w:type="character" w:customStyle="1" w:styleId="162">
    <w:name w:val="first-child2"/>
    <w:basedOn w:val="32"/>
    <w:autoRedefine/>
    <w:qFormat/>
    <w:uiPriority w:val="0"/>
    <w:rPr>
      <w:sz w:val="24"/>
      <w:szCs w:val="24"/>
    </w:rPr>
  </w:style>
  <w:style w:type="character" w:customStyle="1" w:styleId="163">
    <w:name w:val="first-child3"/>
    <w:basedOn w:val="32"/>
    <w:autoRedefine/>
    <w:qFormat/>
    <w:uiPriority w:val="0"/>
    <w:rPr>
      <w:sz w:val="24"/>
      <w:szCs w:val="24"/>
      <w:bdr w:val="single" w:color="DEE3E9" w:sz="6" w:space="0"/>
    </w:rPr>
  </w:style>
  <w:style w:type="paragraph" w:customStyle="1" w:styleId="164">
    <w:name w:val="二级标题"/>
    <w:basedOn w:val="7"/>
    <w:next w:val="1"/>
    <w:qFormat/>
    <w:uiPriority w:val="0"/>
    <w:pPr>
      <w:numPr>
        <w:ilvl w:val="0"/>
        <w:numId w:val="1"/>
      </w:numPr>
      <w:spacing w:line="360" w:lineRule="auto"/>
    </w:pPr>
    <w:rPr>
      <w:rFonts w:ascii="宋体" w:hAnsi="宋体" w:eastAsia="宋体"/>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4855</Words>
  <Characters>5077</Characters>
  <Lines>315</Lines>
  <Paragraphs>88</Paragraphs>
  <TotalTime>3</TotalTime>
  <ScaleCrop>false</ScaleCrop>
  <LinksUpToDate>false</LinksUpToDate>
  <CharactersWithSpaces>5684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2025-04-03T08:16:19Z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48472C5770C4475A94AAB7A1D5523822_13</vt:lpwstr>
  </property>
  <property fmtid="{D5CDD505-2E9C-101B-9397-08002B2CF9AE}" pid="4" name="KSOTemplateDocerSaveRecord">
    <vt:lpwstr>eyJoZGlkIjoiNDdiYzIwYzJkY2VlZTA0OGY0ZGI2YmQyZmFjZDk5NjQiLCJ1c2VySWQiOiIzNDU5NTk2NDkifQ==</vt:lpwstr>
  </property>
</Properties>
</file>