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225D3CE7">
      <w:pPr>
        <w:jc w:val="center"/>
        <w:rPr>
          <w:rFonts w:hint="eastAsia" w:ascii="宋体" w:hAnsi="宋体" w:cs="宋体"/>
          <w:b/>
          <w:sz w:val="40"/>
          <w:szCs w:val="40"/>
          <w:highlight w:val="cyan"/>
          <w:lang w:eastAsia="zh-CN"/>
        </w:rPr>
      </w:pPr>
      <w:r>
        <w:rPr>
          <w:rFonts w:hint="eastAsia" w:ascii="宋体" w:hAnsi="宋体" w:cs="宋体"/>
          <w:b/>
          <w:sz w:val="40"/>
          <w:szCs w:val="40"/>
        </w:rPr>
        <w:t>河南省胸科医院</w:t>
      </w:r>
      <w:bookmarkStart w:id="67" w:name="_GoBack"/>
      <w:r>
        <w:rPr>
          <w:rFonts w:hint="eastAsia" w:ascii="宋体" w:hAnsi="宋体" w:cs="宋体"/>
          <w:b/>
          <w:sz w:val="40"/>
          <w:szCs w:val="40"/>
          <w:highlight w:val="cyan"/>
          <w:lang w:eastAsia="zh-CN"/>
        </w:rPr>
        <w:t>双通道靶控泵</w:t>
      </w:r>
      <w:bookmarkEnd w:id="67"/>
    </w:p>
    <w:p w14:paraId="4198787D">
      <w:pPr>
        <w:jc w:val="center"/>
        <w:rPr>
          <w:rFonts w:ascii="宋体" w:hAnsi="宋体" w:cs="宋体"/>
          <w:b/>
          <w:color w:val="000000" w:themeColor="text1"/>
          <w:sz w:val="40"/>
          <w:szCs w:val="40"/>
          <w:u w:val="none"/>
          <w14:textFill>
            <w14:solidFill>
              <w14:schemeClr w14:val="tx1"/>
            </w14:solidFill>
          </w14:textFill>
        </w:rPr>
      </w:pPr>
      <w:r>
        <w:rPr>
          <w:rFonts w:hint="eastAsia" w:ascii="宋体" w:hAnsi="宋体" w:cs="宋体"/>
          <w:b/>
          <w:color w:val="000000" w:themeColor="text1"/>
          <w:sz w:val="40"/>
          <w:szCs w:val="40"/>
          <w:u w:val="none"/>
          <w14:textFill>
            <w14:solidFill>
              <w14:schemeClr w14:val="tx1"/>
            </w14:solidFill>
          </w14:textFill>
        </w:rPr>
        <w:fldChar w:fldCharType="begin"/>
      </w:r>
      <w:r>
        <w:rPr>
          <w:rFonts w:hint="eastAsia" w:ascii="宋体" w:hAnsi="宋体" w:cs="宋体"/>
          <w:b/>
          <w:color w:val="000000" w:themeColor="text1"/>
          <w:sz w:val="40"/>
          <w:szCs w:val="40"/>
          <w:u w:val="none"/>
          <w14:textFill>
            <w14:solidFill>
              <w14:schemeClr w14:val="tx1"/>
            </w14:solidFill>
          </w14:textFill>
        </w:rPr>
        <w:instrText xml:space="preserve"> HYPERLINK \l "项目资料表" </w:instrText>
      </w:r>
      <w:r>
        <w:rPr>
          <w:rFonts w:hint="eastAsia" w:ascii="宋体" w:hAnsi="宋体" w:cs="宋体"/>
          <w:b/>
          <w:color w:val="000000" w:themeColor="text1"/>
          <w:sz w:val="40"/>
          <w:szCs w:val="40"/>
          <w:u w:val="none"/>
          <w14:textFill>
            <w14:solidFill>
              <w14:schemeClr w14:val="tx1"/>
            </w14:solidFill>
          </w14:textFill>
        </w:rPr>
        <w:fldChar w:fldCharType="separate"/>
      </w:r>
      <w:r>
        <w:rPr>
          <w:rStyle w:val="36"/>
          <w:rFonts w:hint="eastAsia" w:ascii="宋体" w:hAnsi="宋体" w:cs="宋体"/>
          <w:b/>
          <w:color w:val="000000" w:themeColor="text1"/>
          <w:sz w:val="40"/>
          <w:szCs w:val="40"/>
          <w:u w:val="none"/>
          <w14:textFill>
            <w14:solidFill>
              <w14:schemeClr w14:val="tx1"/>
            </w14:solidFill>
          </w14:textFill>
        </w:rPr>
        <w:t>采购项目</w:t>
      </w:r>
      <w:r>
        <w:rPr>
          <w:rFonts w:hint="eastAsia" w:ascii="宋体" w:hAnsi="宋体" w:cs="宋体"/>
          <w:b/>
          <w:color w:val="000000" w:themeColor="text1"/>
          <w:sz w:val="40"/>
          <w:szCs w:val="40"/>
          <w:u w:val="none"/>
          <w14:textFill>
            <w14:solidFill>
              <w14:schemeClr w14:val="tx1"/>
            </w14:solidFill>
          </w14:textFill>
        </w:rPr>
        <w:fldChar w:fldCharType="end"/>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cyan"/>
          <w:lang w:val="en-US" w:eastAsia="zh-CN"/>
        </w:rPr>
      </w:pPr>
      <w:r>
        <w:rPr>
          <w:rFonts w:hint="eastAsia" w:ascii="宋体" w:hAnsi="宋体" w:cs="宋体"/>
          <w:b/>
          <w:sz w:val="32"/>
        </w:rPr>
        <w:t>项目编号：HNSXKYYZBB-YN-</w:t>
      </w:r>
      <w:r>
        <w:rPr>
          <w:rFonts w:hint="eastAsia" w:ascii="宋体" w:hAnsi="宋体" w:cs="宋体"/>
          <w:b/>
          <w:sz w:val="32"/>
          <w:lang w:eastAsia="zh-CN"/>
        </w:rPr>
        <w:t>202</w:t>
      </w:r>
      <w:r>
        <w:rPr>
          <w:rFonts w:hint="eastAsia" w:ascii="宋体" w:hAnsi="宋体" w:cs="宋体"/>
          <w:b/>
          <w:sz w:val="32"/>
          <w:lang w:val="en-US" w:eastAsia="zh-CN"/>
        </w:rPr>
        <w:t>5</w:t>
      </w:r>
      <w:r>
        <w:rPr>
          <w:rFonts w:hint="eastAsia" w:ascii="宋体" w:hAnsi="宋体" w:cs="宋体"/>
          <w:b/>
          <w:sz w:val="32"/>
        </w:rPr>
        <w:t>-</w:t>
      </w:r>
      <w:r>
        <w:rPr>
          <w:rFonts w:hint="eastAsia" w:ascii="宋体" w:hAnsi="宋体" w:cs="宋体"/>
          <w:b/>
          <w:sz w:val="32"/>
          <w:highlight w:val="cyan"/>
          <w:lang w:val="en-US" w:eastAsia="zh-CN"/>
        </w:rPr>
        <w:t>044</w:t>
      </w:r>
    </w:p>
    <w:p w14:paraId="146A9B8D">
      <w:pPr>
        <w:widowControl/>
        <w:spacing w:line="360" w:lineRule="auto"/>
        <w:outlineLvl w:val="0"/>
        <w:rPr>
          <w:b/>
          <w:sz w:val="52"/>
          <w:szCs w:val="52"/>
        </w:rPr>
      </w:pPr>
    </w:p>
    <w:p w14:paraId="2F3A82E6">
      <w:pPr>
        <w:spacing w:line="360" w:lineRule="auto"/>
        <w:jc w:val="center"/>
        <w:rPr>
          <w:rFonts w:ascii="宋体" w:hAnsi="宋体" w:cs="宋体"/>
          <w:b/>
          <w:sz w:val="30"/>
          <w:szCs w:val="30"/>
        </w:rPr>
      </w:pPr>
      <w:r>
        <w:rPr>
          <w:rFonts w:hint="eastAsia" w:ascii="宋体" w:hAnsi="宋体" w:cs="宋体"/>
          <w:b/>
          <w:sz w:val="30"/>
          <w:szCs w:val="30"/>
        </w:rPr>
        <w:t>采购人：河南省胸科医院</w:t>
      </w:r>
    </w:p>
    <w:p w14:paraId="1EE5635E">
      <w:pPr>
        <w:spacing w:line="360" w:lineRule="auto"/>
        <w:jc w:val="center"/>
        <w:rPr>
          <w:rFonts w:ascii="宋体" w:hAnsi="宋体" w:cs="宋体"/>
          <w:b/>
          <w:sz w:val="30"/>
          <w:szCs w:val="30"/>
          <w:highlight w:val="cyan"/>
        </w:rPr>
      </w:pPr>
      <w:r>
        <w:rPr>
          <w:rFonts w:hint="eastAsia" w:ascii="宋体" w:hAnsi="宋体" w:cs="宋体"/>
          <w:b/>
          <w:sz w:val="30"/>
          <w:szCs w:val="30"/>
          <w:lang w:eastAsia="zh-CN"/>
        </w:rPr>
        <w:t>202</w:t>
      </w:r>
      <w:r>
        <w:rPr>
          <w:rFonts w:hint="eastAsia" w:ascii="宋体" w:hAnsi="宋体" w:cs="宋体"/>
          <w:b/>
          <w:sz w:val="30"/>
          <w:szCs w:val="30"/>
          <w:lang w:val="en-US" w:eastAsia="zh-CN"/>
        </w:rPr>
        <w:t>5</w:t>
      </w:r>
      <w:r>
        <w:rPr>
          <w:rFonts w:hint="eastAsia" w:ascii="宋体" w:hAnsi="宋体" w:cs="宋体"/>
          <w:b/>
          <w:sz w:val="30"/>
          <w:szCs w:val="30"/>
        </w:rPr>
        <w:t>年</w:t>
      </w:r>
      <w:r>
        <w:rPr>
          <w:rFonts w:hint="eastAsia" w:ascii="宋体" w:hAnsi="宋体" w:cs="宋体"/>
          <w:b/>
          <w:sz w:val="32"/>
          <w:highlight w:val="cyan"/>
          <w:lang w:val="en-US" w:eastAsia="zh-CN"/>
        </w:rPr>
        <w:t>4</w:t>
      </w:r>
      <w:r>
        <w:rPr>
          <w:rFonts w:hint="eastAsia" w:ascii="宋体" w:hAnsi="宋体" w:cs="宋体"/>
          <w:b/>
          <w:sz w:val="30"/>
          <w:szCs w:val="30"/>
          <w:highlight w:val="cyan"/>
        </w:rPr>
        <w:t>月</w:t>
      </w:r>
    </w:p>
    <w:p w14:paraId="397ABADD">
      <w:pPr>
        <w:jc w:val="center"/>
        <w:rPr>
          <w:rFonts w:ascii="宋体" w:hAnsi="宋体"/>
          <w:b/>
          <w:sz w:val="32"/>
          <w:szCs w:val="32"/>
          <w:highlight w:val="cyan"/>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lang w:eastAsia="zh-CN"/>
        </w:rPr>
      </w:pPr>
      <w:r>
        <w:rPr>
          <w:rFonts w:hint="eastAsia" w:ascii="宋体" w:hAnsi="宋体"/>
          <w:b/>
          <w:sz w:val="28"/>
          <w:szCs w:val="28"/>
        </w:rPr>
        <w:t xml:space="preserve"> </w:t>
      </w:r>
      <w:r>
        <w:rPr>
          <w:rFonts w:hint="eastAsia" w:ascii="宋体" w:hAnsi="宋体"/>
          <w:b/>
          <w:sz w:val="28"/>
          <w:szCs w:val="28"/>
          <w:highlight w:val="cyan"/>
        </w:rPr>
        <w:t>河南省胸科医院</w:t>
      </w:r>
      <w:r>
        <w:rPr>
          <w:rFonts w:hint="eastAsia" w:ascii="宋体" w:hAnsi="宋体"/>
          <w:b/>
          <w:sz w:val="28"/>
          <w:szCs w:val="28"/>
          <w:highlight w:val="cyan"/>
          <w:lang w:eastAsia="zh-CN"/>
        </w:rPr>
        <w:t>双通道靶控泵</w:t>
      </w:r>
      <w:r>
        <w:rPr>
          <w:rFonts w:hint="eastAsia" w:ascii="宋体" w:hAnsi="宋体"/>
          <w:b/>
          <w:sz w:val="28"/>
          <w:szCs w:val="28"/>
          <w:highlight w:val="cyan"/>
        </w:rPr>
        <w:t>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cyan"/>
        </w:rPr>
      </w:pPr>
      <w:r>
        <w:rPr>
          <w:rFonts w:hint="eastAsia" w:ascii="宋体" w:hAnsi="宋体"/>
          <w:b/>
          <w:sz w:val="28"/>
          <w:szCs w:val="28"/>
          <w:highlight w:val="cyan"/>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河南省胸科医院双通道靶控泵采购项目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双通道靶控泵</w:t>
      </w:r>
      <w:r>
        <w:rPr>
          <w:rFonts w:hint="eastAsia" w:asciiTheme="minorEastAsia" w:hAnsiTheme="minorEastAsia" w:eastAsiaTheme="minorEastAsia" w:cstheme="minorEastAsia"/>
          <w:color w:val="333333"/>
          <w:sz w:val="24"/>
          <w:szCs w:val="24"/>
          <w:lang w:val="en-US" w:eastAsia="zh-CN"/>
        </w:rPr>
        <w:t>2</w:t>
      </w:r>
      <w:r>
        <w:rPr>
          <w:rFonts w:hint="default" w:asciiTheme="minorEastAsia" w:hAnsiTheme="minorEastAsia" w:eastAsiaTheme="minorEastAsia" w:cstheme="minorEastAsia"/>
          <w:color w:val="333333"/>
          <w:sz w:val="24"/>
          <w:szCs w:val="24"/>
        </w:rPr>
        <w:t>台。</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yellow"/>
          <w:lang w:val="en-US" w:eastAsia="zh-CN"/>
        </w:rPr>
        <w:t>8</w:t>
      </w:r>
      <w:r>
        <w:rPr>
          <w:rFonts w:hint="default" w:asciiTheme="minorEastAsia" w:hAnsiTheme="minorEastAsia" w:eastAsiaTheme="minorEastAsia" w:cstheme="minorEastAsia"/>
          <w:color w:val="333333"/>
          <w:sz w:val="24"/>
          <w:szCs w:val="24"/>
        </w:rPr>
        <w:t>万元。</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067D49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6</w:t>
      </w:r>
      <w:r>
        <w:rPr>
          <w:rFonts w:hint="default" w:asciiTheme="minorEastAsia" w:hAnsiTheme="minorEastAsia" w:eastAsiaTheme="minorEastAsia" w:cstheme="minorEastAsia"/>
          <w:color w:val="333333"/>
          <w:sz w:val="24"/>
          <w:szCs w:val="24"/>
          <w:highlight w:val="yellow"/>
        </w:rPr>
        <w:t>日至</w:t>
      </w:r>
      <w:r>
        <w:rPr>
          <w:rFonts w:hint="eastAsia" w:asciiTheme="minorEastAsia" w:hAnsiTheme="minorEastAsia" w:eastAsiaTheme="minorEastAsia" w:cstheme="minorEastAsia"/>
          <w:color w:val="333333"/>
          <w:sz w:val="24"/>
          <w:szCs w:val="24"/>
          <w:highlight w:val="yellow"/>
          <w:lang w:eastAsia="zh-CN"/>
        </w:rPr>
        <w:t>202</w:t>
      </w:r>
      <w:r>
        <w:rPr>
          <w:rFonts w:hint="eastAsia" w:asciiTheme="minorEastAsia" w:hAnsiTheme="minorEastAsia" w:eastAsiaTheme="minorEastAsia" w:cstheme="minorEastAsia"/>
          <w:color w:val="333333"/>
          <w:sz w:val="24"/>
          <w:szCs w:val="24"/>
          <w:highlight w:val="yellow"/>
          <w:lang w:val="en-US" w:eastAsia="zh-CN"/>
        </w:rPr>
        <w:t>5</w:t>
      </w:r>
      <w:r>
        <w:rPr>
          <w:rFonts w:hint="default" w:asciiTheme="minorEastAsia" w:hAnsiTheme="minorEastAsia" w:eastAsiaTheme="minorEastAsia" w:cstheme="minorEastAsia"/>
          <w:color w:val="333333"/>
          <w:sz w:val="24"/>
          <w:szCs w:val="24"/>
          <w:highlight w:val="yellow"/>
        </w:rPr>
        <w:t>年</w:t>
      </w:r>
      <w:r>
        <w:rPr>
          <w:rFonts w:hint="eastAsia" w:asciiTheme="minorEastAsia" w:hAnsiTheme="minorEastAsia" w:eastAsiaTheme="minorEastAsia" w:cstheme="minorEastAsia"/>
          <w:color w:val="333333"/>
          <w:sz w:val="24"/>
          <w:szCs w:val="24"/>
          <w:highlight w:val="red"/>
          <w:lang w:val="en-US" w:eastAsia="zh-CN"/>
        </w:rPr>
        <w:t>4</w:t>
      </w:r>
      <w:r>
        <w:rPr>
          <w:rFonts w:hint="default" w:asciiTheme="minorEastAsia" w:hAnsiTheme="minorEastAsia" w:eastAsiaTheme="minorEastAsia" w:cstheme="minorEastAsia"/>
          <w:color w:val="333333"/>
          <w:sz w:val="24"/>
          <w:szCs w:val="24"/>
          <w:highlight w:val="yellow"/>
        </w:rPr>
        <w:t>月1</w:t>
      </w:r>
      <w:r>
        <w:rPr>
          <w:rFonts w:hint="eastAsia" w:asciiTheme="minorEastAsia" w:hAnsiTheme="minorEastAsia" w:eastAsiaTheme="minorEastAsia" w:cstheme="minorEastAsia"/>
          <w:color w:val="333333"/>
          <w:sz w:val="24"/>
          <w:szCs w:val="24"/>
          <w:highlight w:val="yellow"/>
          <w:lang w:val="en-US" w:eastAsia="zh-CN"/>
        </w:rPr>
        <w:t>8</w:t>
      </w:r>
      <w:r>
        <w:rPr>
          <w:rFonts w:hint="default" w:asciiTheme="minorEastAsia" w:hAnsiTheme="minorEastAsia" w:eastAsiaTheme="minorEastAsia" w:cstheme="minorEastAsia"/>
          <w:color w:val="333333"/>
          <w:sz w:val="24"/>
          <w:szCs w:val="24"/>
          <w:highlight w:val="yellow"/>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yellow"/>
        </w:rPr>
        <w:t>下午12:00至1</w:t>
      </w:r>
      <w:r>
        <w:rPr>
          <w:rFonts w:hint="eastAsia" w:asciiTheme="minorEastAsia" w:hAnsiTheme="minorEastAsia" w:eastAsiaTheme="minorEastAsia" w:cstheme="minorEastAsia"/>
          <w:color w:val="333333"/>
          <w:sz w:val="24"/>
          <w:szCs w:val="24"/>
          <w:highlight w:val="yellow"/>
          <w:lang w:val="en-US" w:eastAsia="zh-CN"/>
        </w:rPr>
        <w:t>7</w:t>
      </w:r>
      <w:r>
        <w:rPr>
          <w:rFonts w:hint="default" w:asciiTheme="minorEastAsia" w:hAnsiTheme="minorEastAsia" w:eastAsiaTheme="minorEastAsia" w:cstheme="minorEastAsia"/>
          <w:color w:val="333333"/>
          <w:sz w:val="24"/>
          <w:szCs w:val="24"/>
          <w:highlight w:val="yellow"/>
        </w:rPr>
        <w:t>:</w:t>
      </w:r>
      <w:r>
        <w:rPr>
          <w:rFonts w:hint="eastAsia" w:asciiTheme="minorEastAsia" w:hAnsiTheme="minorEastAsia" w:eastAsiaTheme="minorEastAsia" w:cstheme="minorEastAsia"/>
          <w:color w:val="333333"/>
          <w:sz w:val="24"/>
          <w:szCs w:val="24"/>
          <w:highlight w:val="yellow"/>
          <w:lang w:val="en-US" w:eastAsia="zh-CN"/>
        </w:rPr>
        <w:t>3</w:t>
      </w:r>
      <w:r>
        <w:rPr>
          <w:rFonts w:hint="default" w:asciiTheme="minorEastAsia" w:hAnsiTheme="minorEastAsia" w:eastAsiaTheme="minorEastAsia" w:cstheme="minorEastAsia"/>
          <w:color w:val="333333"/>
          <w:sz w:val="24"/>
          <w:szCs w:val="24"/>
          <w:highlight w:val="yellow"/>
        </w:rPr>
        <w:t>0（北京时间，法定节假日除外）</w:t>
      </w:r>
      <w:r>
        <w:rPr>
          <w:rFonts w:hint="default" w:asciiTheme="minorEastAsia" w:hAnsiTheme="minorEastAsia" w:eastAsiaTheme="minorEastAsia" w:cstheme="minorEastAsia"/>
          <w:color w:val="333333"/>
          <w:sz w:val="24"/>
          <w:szCs w:val="24"/>
        </w:rPr>
        <w:t>。</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EAA0043">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cyan"/>
        </w:rPr>
      </w:pPr>
      <w:r>
        <w:rPr>
          <w:rFonts w:hint="eastAsia" w:ascii="宋体" w:hAnsi="宋体"/>
          <w:b/>
          <w:sz w:val="32"/>
          <w:szCs w:val="32"/>
        </w:rPr>
        <w:t xml:space="preserve">  </w:t>
      </w:r>
      <w:r>
        <w:rPr>
          <w:rFonts w:hint="eastAsia" w:ascii="宋体" w:hAnsi="宋体"/>
          <w:b/>
          <w:sz w:val="32"/>
          <w:szCs w:val="32"/>
          <w:highlight w:val="cyan"/>
        </w:rPr>
        <w:t>采购需求</w:t>
      </w:r>
      <w:bookmarkStart w:id="3" w:name="_Toc2902"/>
      <w:bookmarkStart w:id="4" w:name="_Toc6661845"/>
    </w:p>
    <w:bookmarkEnd w:id="3"/>
    <w:bookmarkEnd w:id="4"/>
    <w:p w14:paraId="7291795B">
      <w:pPr>
        <w:numPr>
          <w:ilvl w:val="0"/>
          <w:numId w:val="2"/>
        </w:numPr>
        <w:spacing w:line="360" w:lineRule="auto"/>
        <w:rPr>
          <w:rFonts w:hint="eastAsia"/>
          <w:lang w:val="en-US" w:eastAsia="zh-CN"/>
        </w:rPr>
      </w:pPr>
      <w:r>
        <w:rPr>
          <w:rFonts w:hint="eastAsia" w:ascii="宋体" w:hAnsi="宋体" w:eastAsia="宋体" w:cs="宋体"/>
          <w:b/>
          <w:bCs/>
          <w:color w:val="auto"/>
          <w:sz w:val="24"/>
          <w:szCs w:val="24"/>
          <w:lang w:eastAsia="zh-CN"/>
        </w:rPr>
        <w:t>技术</w:t>
      </w:r>
      <w:r>
        <w:rPr>
          <w:rFonts w:hint="eastAsia" w:ascii="宋体" w:hAnsi="宋体" w:cs="宋体"/>
          <w:b/>
          <w:bCs/>
          <w:color w:val="auto"/>
          <w:sz w:val="24"/>
          <w:szCs w:val="24"/>
          <w:lang w:val="en-US" w:eastAsia="zh-CN"/>
        </w:rPr>
        <w:t>要求：</w:t>
      </w:r>
    </w:p>
    <w:p w14:paraId="44F712F3">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 xml:space="preserve">1.数量：2台 </w:t>
      </w:r>
    </w:p>
    <w:p w14:paraId="063F986A">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2.双通道注射泵，两个通道独立电源控制。</w:t>
      </w:r>
    </w:p>
    <w:p w14:paraId="03F067C5">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3. ≥3英寸触摸屏，全中文显示。</w:t>
      </w:r>
    </w:p>
    <w:p w14:paraId="57E19FF0">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4. 能自动识别5、10、20、30、50ml等规格的一次性注射器。</w:t>
      </w:r>
    </w:p>
    <w:p w14:paraId="253CBDD9">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5. 注射模式：支持速度、时间、体重、梯度、序列、TCI等模式。</w:t>
      </w:r>
    </w:p>
    <w:p w14:paraId="1EAEDD51">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6. TCI模式时可显示常用静脉麻醉药物的实时血浆浓度、效应室浓度，并可提供血药浓度预测。</w:t>
      </w:r>
    </w:p>
    <w:p w14:paraId="34C3DC6B">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7. 具有三种麻醉药物（丙泊酚、瑞芬太尼、舒芬太尼）的药代动力学模型，丙泊酚具有儿童模型（年龄范围1岁一18岁）。</w:t>
      </w:r>
    </w:p>
    <w:p w14:paraId="28A2EA60">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8. 双通道注射泵间可实现病人信息参数同步功能。</w:t>
      </w:r>
    </w:p>
    <w:p w14:paraId="68986E0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9. 序列模式：可设置≥10组序列，且序列模式中具有暂停功能。</w:t>
      </w:r>
    </w:p>
    <w:p w14:paraId="4DB94B9D">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10. 级联模式：两个通道同时开启，具有级联模式。</w:t>
      </w:r>
    </w:p>
    <w:p w14:paraId="6D3461FE">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11. 具有手动快进、快速定量快进、自动快进等快进方式。</w:t>
      </w:r>
    </w:p>
    <w:p w14:paraId="29A3482C">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12. 速率范围：0.1-2000ml/h（最小0.01 ml/h递增）。</w:t>
      </w:r>
    </w:p>
    <w:p w14:paraId="3C4B47E0">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13. 注射精度: ≤±2% ；机械精度≤±0.5%。</w:t>
      </w:r>
    </w:p>
    <w:p w14:paraId="4B6D5BE9">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14. 阻塞级别：150mmHg-975mmHg，12级可选择，动态显示管路的压力状态。</w:t>
      </w:r>
    </w:p>
    <w:p w14:paraId="425321A3">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15. 支持选配药物库, 可存储至少2000种药物。</w:t>
      </w:r>
    </w:p>
    <w:p w14:paraId="0403D2B3">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16. 声音音量等级：可调10级报警音量。</w:t>
      </w:r>
    </w:p>
    <w:p w14:paraId="5855062B">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17. 夜间模式：可自动降低亮度和报警音量，时间段可调。</w:t>
      </w:r>
    </w:p>
    <w:p w14:paraId="768FB8C8">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18. 可联网输注中央监护系统。</w:t>
      </w:r>
    </w:p>
    <w:p w14:paraId="6306296A">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19. 防护等级IP34。</w:t>
      </w:r>
    </w:p>
    <w:p w14:paraId="296600A5">
      <w:pPr>
        <w:spacing w:line="360" w:lineRule="auto"/>
        <w:ind w:firstLine="240" w:firstLineChars="100"/>
        <w:rPr>
          <w:rFonts w:hint="eastAsia" w:ascii="宋体" w:hAnsi="宋体" w:cs="宋体"/>
          <w:sz w:val="24"/>
          <w:lang w:val="en-US" w:eastAsia="zh-CN"/>
        </w:rPr>
      </w:pPr>
      <w:r>
        <w:rPr>
          <w:rFonts w:hint="eastAsia" w:ascii="宋体" w:hAnsi="宋体" w:cs="宋体"/>
          <w:sz w:val="24"/>
          <w:lang w:val="en-US" w:eastAsia="zh-CN"/>
        </w:rPr>
        <w:t>20. 内置锂电池，以5ml/h速度注射，可实现工作时间≥8小时。</w:t>
      </w:r>
    </w:p>
    <w:p w14:paraId="475C07CC">
      <w:pPr>
        <w:spacing w:line="360" w:lineRule="auto"/>
        <w:rPr>
          <w:rFonts w:ascii="宋体" w:hAnsi="宋体"/>
          <w:b/>
          <w:bCs/>
          <w:sz w:val="24"/>
        </w:rPr>
      </w:pPr>
      <w:r>
        <w:rPr>
          <w:rFonts w:hint="eastAsia" w:ascii="宋体" w:hAnsi="宋体"/>
          <w:b/>
          <w:bCs/>
          <w:sz w:val="24"/>
          <w:lang w:eastAsia="zh-CN"/>
        </w:rPr>
        <w:t>二</w:t>
      </w:r>
      <w:r>
        <w:rPr>
          <w:rFonts w:hint="eastAsia" w:ascii="宋体" w:hAnsi="宋体"/>
          <w:b/>
          <w:bCs/>
          <w:sz w:val="24"/>
        </w:rPr>
        <w:t>、商务要求</w:t>
      </w:r>
    </w:p>
    <w:p w14:paraId="5C56DBC1">
      <w:pPr>
        <w:spacing w:line="360" w:lineRule="auto"/>
        <w:rPr>
          <w:rFonts w:ascii="宋体" w:hAnsi="宋体" w:cs="宋体"/>
          <w:sz w:val="24"/>
        </w:rPr>
      </w:pPr>
      <w:r>
        <w:rPr>
          <w:rFonts w:hint="eastAsia" w:ascii="宋体" w:hAnsi="宋体" w:cs="宋体"/>
          <w:sz w:val="24"/>
        </w:rPr>
        <w:t>1.特定资格</w:t>
      </w:r>
    </w:p>
    <w:p w14:paraId="0127D5B4">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7D6B4862">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025BC95E">
      <w:pPr>
        <w:spacing w:line="360" w:lineRule="auto"/>
        <w:rPr>
          <w:rFonts w:ascii="宋体" w:hAnsi="宋体" w:cs="宋体"/>
          <w:sz w:val="24"/>
        </w:rPr>
      </w:pPr>
      <w:r>
        <w:rPr>
          <w:rFonts w:hint="eastAsia" w:ascii="宋体" w:hAnsi="宋体" w:cs="宋体"/>
          <w:sz w:val="24"/>
        </w:rPr>
        <w:t>2.到货期：合同签订后</w:t>
      </w:r>
      <w:r>
        <w:rPr>
          <w:rFonts w:hint="eastAsia" w:ascii="宋体" w:hAnsi="宋体" w:cs="宋体"/>
          <w:b/>
          <w:bCs/>
          <w:color w:val="FF0000"/>
          <w:sz w:val="24"/>
        </w:rPr>
        <w:t>30日历天</w:t>
      </w:r>
    </w:p>
    <w:p w14:paraId="3B6268B0">
      <w:pPr>
        <w:spacing w:line="360" w:lineRule="auto"/>
        <w:rPr>
          <w:rFonts w:hint="eastAsia" w:ascii="宋体" w:hAnsi="宋体" w:eastAsia="宋体" w:cs="宋体"/>
          <w:sz w:val="24"/>
          <w:lang w:eastAsia="zh-CN"/>
        </w:rPr>
      </w:pPr>
      <w:r>
        <w:rPr>
          <w:rFonts w:hint="eastAsia" w:ascii="宋体" w:hAnsi="宋体" w:cs="宋体"/>
          <w:sz w:val="24"/>
        </w:rPr>
        <w:t>3.是否接受进口产品：</w:t>
      </w:r>
      <w:r>
        <w:rPr>
          <w:rFonts w:hint="eastAsia" w:ascii="宋体" w:hAnsi="宋体" w:cs="宋体"/>
          <w:b/>
          <w:bCs/>
          <w:color w:val="FF0000"/>
          <w:sz w:val="24"/>
          <w:lang w:val="en-US" w:eastAsia="zh-CN"/>
        </w:rPr>
        <w:t>否</w:t>
      </w:r>
    </w:p>
    <w:p w14:paraId="4E629791">
      <w:pPr>
        <w:spacing w:line="360" w:lineRule="auto"/>
        <w:rPr>
          <w:rFonts w:ascii="宋体" w:hAnsi="宋体" w:cs="宋体"/>
          <w:sz w:val="24"/>
        </w:rPr>
      </w:pPr>
      <w:r>
        <w:rPr>
          <w:rFonts w:hint="eastAsia" w:ascii="宋体" w:hAnsi="宋体" w:cs="宋体"/>
          <w:sz w:val="24"/>
        </w:rPr>
        <w:t>4.质保期：</w:t>
      </w:r>
      <w:r>
        <w:rPr>
          <w:rFonts w:hint="eastAsia" w:ascii="宋体" w:hAnsi="宋体" w:cs="宋体"/>
          <w:b/>
          <w:bCs/>
          <w:color w:val="FF0000"/>
          <w:sz w:val="24"/>
        </w:rPr>
        <w:t>≥</w:t>
      </w:r>
      <w:r>
        <w:rPr>
          <w:rFonts w:hint="eastAsia" w:ascii="宋体" w:hAnsi="宋体" w:cs="宋体"/>
          <w:b/>
          <w:bCs/>
          <w:color w:val="FF0000"/>
          <w:sz w:val="24"/>
          <w:lang w:val="en-US" w:eastAsia="zh-CN"/>
        </w:rPr>
        <w:t>3</w:t>
      </w:r>
      <w:r>
        <w:rPr>
          <w:rFonts w:hint="eastAsia" w:ascii="宋体" w:hAnsi="宋体" w:cs="宋体"/>
          <w:b/>
          <w:bCs/>
          <w:color w:val="FF0000"/>
          <w:sz w:val="24"/>
        </w:rPr>
        <w:t>年</w:t>
      </w:r>
      <w:r>
        <w:rPr>
          <w:rFonts w:hint="eastAsia" w:ascii="宋体" w:hAnsi="宋体" w:cs="宋体"/>
          <w:sz w:val="24"/>
        </w:rPr>
        <w:t>（供应商需明确具体年数）</w:t>
      </w:r>
    </w:p>
    <w:p w14:paraId="6FE9DB28">
      <w:pPr>
        <w:spacing w:line="360" w:lineRule="auto"/>
        <w:rPr>
          <w:rFonts w:ascii="宋体" w:hAnsi="宋体" w:cs="宋体"/>
          <w:sz w:val="24"/>
        </w:rPr>
      </w:pPr>
      <w:r>
        <w:rPr>
          <w:rFonts w:hint="eastAsia" w:ascii="宋体" w:hAnsi="宋体" w:cs="宋体"/>
          <w:sz w:val="24"/>
        </w:rPr>
        <w:t>5.履约保证金：无</w:t>
      </w:r>
    </w:p>
    <w:p w14:paraId="45EEAF6D">
      <w:pPr>
        <w:spacing w:line="360" w:lineRule="auto"/>
        <w:rPr>
          <w:rFonts w:ascii="宋体" w:hAnsi="宋体" w:cs="宋体"/>
          <w:sz w:val="24"/>
        </w:rPr>
      </w:pPr>
      <w:r>
        <w:rPr>
          <w:rFonts w:hint="eastAsia" w:ascii="宋体" w:hAnsi="宋体" w:cs="宋体"/>
          <w:sz w:val="24"/>
        </w:rPr>
        <w:t>6.付款方式：</w:t>
      </w:r>
    </w:p>
    <w:p w14:paraId="223E3D25">
      <w:pPr>
        <w:spacing w:line="360" w:lineRule="auto"/>
        <w:ind w:firstLine="240" w:firstLineChars="100"/>
        <w:rPr>
          <w:rFonts w:ascii="宋体" w:hAnsi="宋体" w:cs="宋体"/>
          <w:sz w:val="24"/>
        </w:rPr>
      </w:pPr>
      <w:r>
        <w:rPr>
          <w:rFonts w:hint="eastAsia" w:ascii="宋体" w:hAnsi="宋体" w:cs="宋体"/>
          <w:sz w:val="24"/>
        </w:rPr>
        <w:t>6.1．合同签订后，设备交付，使用运行正常，验收合格之后，院方向供应商支付合同总价的</w:t>
      </w:r>
      <w:r>
        <w:rPr>
          <w:rFonts w:hint="eastAsia" w:ascii="宋体" w:hAnsi="宋体" w:cs="宋体"/>
          <w:b/>
          <w:bCs/>
          <w:color w:val="FF0000"/>
          <w:sz w:val="24"/>
        </w:rPr>
        <w:t>95%</w:t>
      </w:r>
      <w:r>
        <w:rPr>
          <w:rFonts w:hint="eastAsia" w:ascii="宋体" w:hAnsi="宋体" w:cs="宋体"/>
          <w:sz w:val="24"/>
        </w:rPr>
        <w:t>货款。</w:t>
      </w:r>
    </w:p>
    <w:p w14:paraId="55D7BF06">
      <w:pPr>
        <w:spacing w:line="360" w:lineRule="auto"/>
        <w:ind w:firstLine="240" w:firstLineChars="100"/>
        <w:rPr>
          <w:rFonts w:hint="eastAsia" w:ascii="宋体" w:hAnsi="宋体" w:eastAsia="宋体"/>
          <w:b w:val="0"/>
          <w:bCs w:val="0"/>
          <w:sz w:val="24"/>
          <w:szCs w:val="24"/>
          <w:lang w:val="en-US" w:eastAsia="zh-CN"/>
        </w:rPr>
      </w:pPr>
      <w:r>
        <w:rPr>
          <w:rFonts w:hint="eastAsia" w:ascii="宋体" w:hAnsi="宋体" w:cs="宋体"/>
          <w:sz w:val="24"/>
        </w:rPr>
        <w:t>6.2．余下的</w:t>
      </w:r>
      <w:r>
        <w:rPr>
          <w:rFonts w:hint="eastAsia" w:ascii="宋体" w:hAnsi="宋体" w:cs="宋体"/>
          <w:b/>
          <w:bCs/>
          <w:color w:val="FF0000"/>
          <w:sz w:val="24"/>
        </w:rPr>
        <w:t>5%</w:t>
      </w:r>
      <w:r>
        <w:rPr>
          <w:rFonts w:hint="eastAsia" w:ascii="宋体" w:hAnsi="宋体" w:cs="宋体"/>
          <w:sz w:val="24"/>
        </w:rPr>
        <w:t>货款于质保期满后，依据投标文件，所承诺的优惠条件、售后服务计划、培训计划等执行到位后，按规定程序办理支付手续，一次性付清。</w:t>
      </w:r>
    </w:p>
    <w:p w14:paraId="7AFF7A76">
      <w:pPr>
        <w:rPr>
          <w:rFonts w:hint="eastAsia"/>
          <w:b/>
          <w:sz w:val="32"/>
          <w:szCs w:val="32"/>
        </w:rPr>
      </w:pP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2479"/>
      <w:bookmarkStart w:id="7" w:name="_Toc902"/>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highlight w:val="magenta"/>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2700ACE5">
      <w:pPr>
        <w:spacing w:line="500" w:lineRule="exact"/>
        <w:rPr>
          <w:rFonts w:ascii="宋体" w:hAnsi="宋体"/>
          <w:sz w:val="24"/>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rPr>
      </w:pPr>
    </w:p>
    <w:p w14:paraId="25368161">
      <w:pPr>
        <w:spacing w:line="500" w:lineRule="exact"/>
        <w:rPr>
          <w:rFonts w:ascii="宋体" w:hAnsi="宋体"/>
          <w:sz w:val="24"/>
        </w:rPr>
      </w:pPr>
    </w:p>
    <w:p w14:paraId="636C9B69">
      <w:pPr>
        <w:spacing w:line="480" w:lineRule="auto"/>
        <w:jc w:val="left"/>
        <w:rPr>
          <w:rFonts w:asciiTheme="minorHAnsi" w:hAnsiTheme="minorHAnsi" w:eastAsiaTheme="minorEastAsia" w:cstheme="minorBidi"/>
          <w:sz w:val="24"/>
        </w:rPr>
      </w:pPr>
      <w:r>
        <w:rPr>
          <w:rFonts w:hint="eastAsia" w:asciiTheme="minorHAnsi" w:hAnsiTheme="minorHAnsi" w:eastAsiaTheme="minorEastAsia" w:cstheme="minorBidi"/>
          <w:sz w:val="24"/>
        </w:rPr>
        <w:t>供应商</w:t>
      </w:r>
      <w:r>
        <w:rPr>
          <w:rFonts w:asciiTheme="minorHAnsi" w:hAnsiTheme="minorHAnsi" w:eastAsiaTheme="minorEastAsia" w:cstheme="minorBidi"/>
          <w:sz w:val="24"/>
        </w:rPr>
        <w:t>（</w:t>
      </w:r>
      <w:r>
        <w:rPr>
          <w:rFonts w:hint="eastAsia" w:asciiTheme="minorHAnsi" w:hAnsiTheme="minorHAnsi" w:eastAsiaTheme="minorEastAsia" w:cstheme="minorBidi"/>
          <w:sz w:val="24"/>
        </w:rPr>
        <w:t>盖章</w:t>
      </w:r>
      <w:r>
        <w:rPr>
          <w:rFonts w:asciiTheme="minorHAnsi" w:hAnsiTheme="minorHAnsi" w:eastAsiaTheme="minorEastAsia" w:cstheme="minorBidi"/>
          <w:sz w:val="24"/>
        </w:rPr>
        <w:t xml:space="preserve">）： </w:t>
      </w:r>
    </w:p>
    <w:p w14:paraId="4066D938">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lang w:val="en-US" w:eastAsia="zh-CN" w:bidi="ar-SA"/>
        </w:rPr>
        <w:t>法定代表人</w:t>
      </w:r>
      <w:r>
        <w:rPr>
          <w:rFonts w:hint="eastAsia" w:asciiTheme="minorHAnsi" w:hAnsiTheme="minorHAnsi" w:eastAsiaTheme="minorEastAsia" w:cstheme="minorBidi"/>
          <w:kern w:val="2"/>
          <w:sz w:val="24"/>
          <w:szCs w:val="22"/>
          <w:highlight w:val="magenta"/>
          <w:lang w:val="en-US" w:eastAsia="zh-CN" w:bidi="ar-SA"/>
        </w:rPr>
        <w:t>（个人签字或盖章）：</w:t>
      </w:r>
    </w:p>
    <w:p w14:paraId="6E800062">
      <w:pPr>
        <w:pStyle w:val="3"/>
        <w:spacing w:line="500" w:lineRule="exact"/>
        <w:rPr>
          <w:rFonts w:hint="eastAsia" w:asciiTheme="minorHAnsi" w:hAnsiTheme="minorHAnsi" w:eastAsiaTheme="minorEastAsia" w:cstheme="minorBidi"/>
          <w:kern w:val="2"/>
          <w:sz w:val="24"/>
          <w:szCs w:val="22"/>
          <w:highlight w:val="magenta"/>
          <w:lang w:val="en-US" w:eastAsia="zh-CN" w:bidi="ar-SA"/>
        </w:rPr>
      </w:pPr>
      <w:r>
        <w:rPr>
          <w:rFonts w:hint="eastAsia" w:asciiTheme="minorHAnsi" w:hAnsiTheme="minorHAnsi" w:eastAsiaTheme="minorEastAsia" w:cstheme="minorBidi"/>
          <w:kern w:val="2"/>
          <w:sz w:val="24"/>
          <w:szCs w:val="22"/>
          <w:highlight w:val="magenta"/>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10534"/>
      <w:bookmarkStart w:id="11" w:name="_Toc31029"/>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11890"/>
      <w:bookmarkStart w:id="13" w:name="_Toc26111"/>
      <w:bookmarkStart w:id="14" w:name="_Toc4559"/>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8"/>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4A7DFB1">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569"/>
      <w:bookmarkStart w:id="16" w:name="_Toc24403"/>
      <w:bookmarkStart w:id="17" w:name="_Toc1931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lang w:eastAsia="zh-CN"/>
        </w:rPr>
        <w:t>供应商名称</w:t>
      </w:r>
      <w:r>
        <w:rPr>
          <w:rFonts w:hint="eastAsia" w:asciiTheme="minorEastAsia" w:hAnsiTheme="minorEastAsia"/>
          <w:color w:val="auto"/>
          <w:sz w:val="24"/>
          <w:highlight w:val="magenta"/>
        </w:rPr>
        <w:t>（</w:t>
      </w:r>
      <w:r>
        <w:rPr>
          <w:rFonts w:hint="eastAsia" w:asciiTheme="minorEastAsia" w:hAnsiTheme="minorEastAsia"/>
          <w:color w:val="auto"/>
          <w:sz w:val="24"/>
          <w:highlight w:val="magenta"/>
          <w:lang w:eastAsia="zh-CN"/>
        </w:rPr>
        <w:t>盖章</w:t>
      </w:r>
      <w:r>
        <w:rPr>
          <w:rFonts w:hint="eastAsia" w:asciiTheme="minorEastAsia" w:hAnsiTheme="minorEastAsia"/>
          <w:color w:val="auto"/>
          <w:sz w:val="24"/>
          <w:highlight w:val="magenta"/>
        </w:rPr>
        <w:t>）：</w:t>
      </w:r>
    </w:p>
    <w:p w14:paraId="3A31C7A6">
      <w:pPr>
        <w:spacing w:line="360" w:lineRule="auto"/>
        <w:rPr>
          <w:rFonts w:hint="eastAsia" w:asciiTheme="minorEastAsia" w:hAnsiTheme="minorEastAsia"/>
          <w:color w:val="auto"/>
          <w:sz w:val="24"/>
          <w:highlight w:val="magenta"/>
        </w:rPr>
      </w:pPr>
      <w:r>
        <w:rPr>
          <w:rFonts w:hint="eastAsia" w:asciiTheme="minorEastAsia" w:hAnsiTheme="minorEastAsia"/>
          <w:color w:val="auto"/>
          <w:sz w:val="24"/>
          <w:highlight w:val="magenta"/>
        </w:rPr>
        <w:t>法定代表人或</w:t>
      </w:r>
      <w:r>
        <w:rPr>
          <w:rFonts w:hint="eastAsia" w:asciiTheme="minorEastAsia" w:hAnsiTheme="minorEastAsia"/>
          <w:color w:val="auto"/>
          <w:sz w:val="24"/>
          <w:highlight w:val="magenta"/>
          <w:lang w:eastAsia="zh-CN"/>
        </w:rPr>
        <w:t>其委托代理人</w:t>
      </w:r>
      <w:r>
        <w:rPr>
          <w:rFonts w:hint="eastAsia" w:asciiTheme="minorEastAsia" w:hAnsiTheme="minorEastAsia"/>
          <w:color w:val="auto"/>
          <w:sz w:val="24"/>
          <w:highlight w:val="magenta"/>
        </w:rPr>
        <w:t>（签字</w:t>
      </w:r>
      <w:r>
        <w:rPr>
          <w:rFonts w:hint="eastAsia" w:asciiTheme="minorEastAsia" w:hAnsiTheme="minorEastAsia"/>
          <w:color w:val="auto"/>
          <w:sz w:val="24"/>
          <w:highlight w:val="magenta"/>
          <w:lang w:eastAsia="zh-CN"/>
        </w:rPr>
        <w:t>或盖章</w:t>
      </w:r>
      <w:r>
        <w:rPr>
          <w:rFonts w:hint="eastAsia" w:asciiTheme="minorEastAsia" w:hAnsiTheme="minorEastAsia"/>
          <w:color w:val="auto"/>
          <w:sz w:val="24"/>
          <w:highlight w:val="magenta"/>
        </w:rPr>
        <w:t xml:space="preserve">）：   </w:t>
      </w:r>
    </w:p>
    <w:p w14:paraId="58322E6B">
      <w:pPr>
        <w:spacing w:line="360" w:lineRule="auto"/>
        <w:rPr>
          <w:rFonts w:hint="default" w:asciiTheme="minorEastAsia" w:hAnsiTheme="minorEastAsia" w:eastAsiaTheme="minorEastAsia"/>
          <w:color w:val="auto"/>
          <w:sz w:val="24"/>
          <w:highlight w:val="magenta"/>
          <w:lang w:val="en-US" w:eastAsia="zh-CN"/>
        </w:rPr>
      </w:pPr>
      <w:r>
        <w:rPr>
          <w:rFonts w:hint="eastAsia" w:asciiTheme="minorEastAsia" w:hAnsiTheme="minorEastAsia"/>
          <w:color w:val="auto"/>
          <w:sz w:val="24"/>
          <w:highlight w:val="magenta"/>
        </w:rPr>
        <w:t>日期</w:t>
      </w:r>
      <w:r>
        <w:rPr>
          <w:rFonts w:hint="eastAsia" w:asciiTheme="minorEastAsia" w:hAnsiTheme="minorEastAsia"/>
          <w:color w:val="auto"/>
          <w:sz w:val="24"/>
          <w:highlight w:val="magenta"/>
          <w:lang w:eastAsia="zh-CN"/>
        </w:rPr>
        <w:t>：</w:t>
      </w:r>
      <w:r>
        <w:rPr>
          <w:rFonts w:hint="eastAsia" w:asciiTheme="minorEastAsia" w:hAnsiTheme="minorEastAsia"/>
          <w:color w:val="auto"/>
          <w:sz w:val="24"/>
          <w:highlight w:val="magenta"/>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0542"/>
      <w:bookmarkStart w:id="19" w:name="_Toc197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8953"/>
      <w:bookmarkStart w:id="22" w:name="_Toc32668"/>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4"/>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magenta"/>
        </w:rPr>
      </w:pPr>
      <w:r>
        <w:rPr>
          <w:rFonts w:hint="eastAsia" w:ascii="宋体" w:hAnsi="宋体"/>
          <w:sz w:val="24"/>
          <w:szCs w:val="24"/>
          <w:highlight w:val="magenta"/>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magenta"/>
          <w:lang w:eastAsia="zh-CN"/>
        </w:rPr>
      </w:pPr>
      <w:bookmarkStart w:id="36" w:name="_Toc11563"/>
      <w:r>
        <w:rPr>
          <w:rFonts w:hint="eastAsia"/>
          <w:color w:val="auto"/>
          <w:sz w:val="28"/>
          <w:highlight w:val="none"/>
          <w:lang w:eastAsia="zh-CN"/>
        </w:rPr>
        <w:t>一</w:t>
      </w:r>
      <w:r>
        <w:rPr>
          <w:rFonts w:hint="eastAsia"/>
          <w:color w:val="auto"/>
          <w:sz w:val="28"/>
          <w:highlight w:val="none"/>
        </w:rPr>
        <w:t>、</w:t>
      </w:r>
      <w:r>
        <w:rPr>
          <w:rFonts w:hint="eastAsia"/>
          <w:color w:val="auto"/>
          <w:sz w:val="28"/>
          <w:highlight w:val="magenta"/>
        </w:rPr>
        <w:t>报价</w:t>
      </w:r>
      <w:bookmarkEnd w:id="36"/>
      <w:r>
        <w:rPr>
          <w:rFonts w:hint="eastAsia"/>
          <w:color w:val="auto"/>
          <w:sz w:val="28"/>
          <w:highlight w:val="magenta"/>
          <w:lang w:eastAsia="zh-CN"/>
        </w:rPr>
        <w:t>一览表</w:t>
      </w:r>
    </w:p>
    <w:p w14:paraId="2B18C251">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1BF831C5">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rPr>
            </w:pPr>
          </w:p>
          <w:p w14:paraId="271FCC1D">
            <w:pPr>
              <w:tabs>
                <w:tab w:val="left" w:pos="926"/>
                <w:tab w:val="left" w:pos="4335"/>
                <w:tab w:val="left" w:pos="4515"/>
                <w:tab w:val="left" w:pos="7227"/>
              </w:tabs>
              <w:jc w:val="center"/>
              <w:rPr>
                <w:rFonts w:hint="eastAsia"/>
                <w:sz w:val="24"/>
                <w:szCs w:val="24"/>
              </w:rPr>
            </w:pPr>
            <w:r>
              <w:rPr>
                <w:rFonts w:hint="eastAsia"/>
                <w:sz w:val="24"/>
                <w:szCs w:val="24"/>
              </w:rPr>
              <w:t>总报价</w:t>
            </w:r>
          </w:p>
          <w:p w14:paraId="3D19D196">
            <w:pPr>
              <w:tabs>
                <w:tab w:val="left" w:pos="926"/>
                <w:tab w:val="left" w:pos="4335"/>
                <w:tab w:val="left" w:pos="4515"/>
                <w:tab w:val="left" w:pos="7227"/>
              </w:tabs>
              <w:ind w:left="-78"/>
              <w:jc w:val="center"/>
              <w:rPr>
                <w:rFonts w:hint="eastAsia"/>
                <w:sz w:val="24"/>
                <w:szCs w:val="24"/>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37E26D8B">
            <w:pPr>
              <w:tabs>
                <w:tab w:val="left" w:pos="926"/>
                <w:tab w:val="left" w:pos="4335"/>
                <w:tab w:val="left" w:pos="4515"/>
                <w:tab w:val="left" w:pos="7227"/>
              </w:tabs>
              <w:ind w:firstLine="210" w:firstLineChars="100"/>
              <w:jc w:val="left"/>
              <w:rPr>
                <w:rFonts w:hint="eastAsia"/>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lang w:val="en-US" w:eastAsia="zh-CN"/>
              </w:rPr>
            </w:pPr>
            <w:r>
              <w:rPr>
                <w:rFonts w:hint="eastAsia"/>
                <w:sz w:val="24"/>
                <w:szCs w:val="24"/>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lang w:val="en-US" w:eastAsia="zh-CN"/>
              </w:rPr>
            </w:pPr>
            <w:r>
              <w:rPr>
                <w:rFonts w:hint="eastAsia"/>
                <w:sz w:val="24"/>
                <w:szCs w:val="24"/>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lang w:val="en-US" w:eastAsia="zh-CN"/>
              </w:rPr>
            </w:pPr>
            <w:r>
              <w:rPr>
                <w:rFonts w:hint="eastAsia"/>
                <w:sz w:val="24"/>
                <w:szCs w:val="24"/>
                <w:highlight w:val="magenta"/>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rPr>
            </w:pPr>
            <w:r>
              <w:rPr>
                <w:rFonts w:hint="eastAsia"/>
                <w:sz w:val="24"/>
                <w:szCs w:val="24"/>
                <w:lang w:eastAsia="zh-CN"/>
              </w:rPr>
              <w:t>到货</w:t>
            </w:r>
            <w:r>
              <w:rPr>
                <w:rFonts w:hint="eastAsia"/>
                <w:sz w:val="24"/>
                <w:szCs w:val="24"/>
              </w:rPr>
              <w:t>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lang w:val="en-US" w:eastAsia="zh-CN"/>
              </w:rPr>
            </w:pPr>
            <w:r>
              <w:rPr>
                <w:rFonts w:hint="eastAsia"/>
                <w:sz w:val="24"/>
                <w:u w:val="none"/>
                <w:lang w:eastAsia="zh-CN"/>
              </w:rPr>
              <w:t>合同签订后</w:t>
            </w:r>
            <w:r>
              <w:rPr>
                <w:rFonts w:hint="eastAsia"/>
                <w:sz w:val="24"/>
                <w:u w:val="single"/>
              </w:rPr>
              <w:t xml:space="preserve">      </w:t>
            </w:r>
            <w:r>
              <w:rPr>
                <w:rFonts w:hint="eastAsia" w:asciiTheme="minorEastAsia" w:hAnsiTheme="minorEastAsia" w:cstheme="minorEastAsia"/>
                <w:color w:val="000000" w:themeColor="text1"/>
                <w:sz w:val="24"/>
                <w:szCs w:val="24"/>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red"/>
                <w:lang w:eastAsia="zh-CN"/>
              </w:rPr>
            </w:pPr>
            <w:r>
              <w:rPr>
                <w:rFonts w:hint="eastAsia"/>
                <w:sz w:val="24"/>
                <w:szCs w:val="24"/>
                <w:highlight w:val="cyan"/>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red"/>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20878673"/>
      <w:bookmarkStart w:id="38" w:name="_Toc337475887"/>
      <w:bookmarkStart w:id="39" w:name="_Toc349642274"/>
      <w:bookmarkStart w:id="40" w:name="_Toc304219290"/>
      <w:bookmarkStart w:id="41" w:name="_Toc33755475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30834"/>
      <w:bookmarkStart w:id="43"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5"/>
        <w:rPr>
          <w:rFonts w:hint="eastAsia"/>
          <w:lang w:val="en-US" w:eastAsia="zh-CN"/>
        </w:rPr>
      </w:pPr>
    </w:p>
    <w:p w14:paraId="4D325021">
      <w:pPr>
        <w:pStyle w:val="8"/>
        <w:numPr>
          <w:ilvl w:val="0"/>
          <w:numId w:val="5"/>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4"/>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11982"/>
      <w:bookmarkStart w:id="46" w:name="_Toc23117"/>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0496"/>
      <w:bookmarkStart w:id="48" w:name="_Toc2381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4948"/>
      <w:bookmarkStart w:id="50" w:name="_Toc2922"/>
      <w:bookmarkStart w:id="51" w:name="_Toc30765"/>
      <w:bookmarkStart w:id="52" w:name="_Toc349642319"/>
      <w:bookmarkStart w:id="53" w:name="_Toc337475928"/>
      <w:bookmarkStart w:id="54" w:name="_Toc10750"/>
      <w:bookmarkStart w:id="55" w:name="_Toc337554798"/>
      <w:bookmarkStart w:id="56" w:name="_Toc304219331"/>
      <w:bookmarkStart w:id="57" w:name="_Toc29526"/>
      <w:bookmarkStart w:id="58" w:name="_Toc4599"/>
      <w:bookmarkStart w:id="59" w:name="_Toc28583"/>
      <w:bookmarkStart w:id="60" w:name="_Toc320878714"/>
      <w:bookmarkStart w:id="61" w:name="_Toc12801"/>
      <w:bookmarkStart w:id="62" w:name="_Toc15867"/>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F3C702A"/>
    <w:multiLevelType w:val="singleLevel"/>
    <w:tmpl w:val="9F3C702A"/>
    <w:lvl w:ilvl="0" w:tentative="0">
      <w:start w:val="1"/>
      <w:numFmt w:val="chineseCounting"/>
      <w:suff w:val="nothing"/>
      <w:lvlText w:val="%1、"/>
      <w:lvlJc w:val="left"/>
      <w:rPr>
        <w:rFonts w:hint="eastAsia"/>
        <w:b/>
        <w:bCs/>
      </w:r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abstractNum w:abstractNumId="4">
    <w:nsid w:val="660895EC"/>
    <w:multiLevelType w:val="singleLevel"/>
    <w:tmpl w:val="660895EC"/>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AE0EC9"/>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56D1D"/>
    <w:rsid w:val="220646A2"/>
    <w:rsid w:val="22144805"/>
    <w:rsid w:val="22323F2B"/>
    <w:rsid w:val="2274615D"/>
    <w:rsid w:val="229D15A4"/>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7D00F21"/>
    <w:rsid w:val="48091059"/>
    <w:rsid w:val="48166E5A"/>
    <w:rsid w:val="48964506"/>
    <w:rsid w:val="48F301C0"/>
    <w:rsid w:val="493F4F1D"/>
    <w:rsid w:val="49B52070"/>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1"/>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2"/>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3"/>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5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FollowedHyperlink"/>
    <w:basedOn w:val="34"/>
    <w:autoRedefine/>
    <w:semiHidden/>
    <w:unhideWhenUsed/>
    <w:qFormat/>
    <w:uiPriority w:val="99"/>
    <w:rPr>
      <w:color w:val="444444"/>
      <w:sz w:val="21"/>
      <w:szCs w:val="21"/>
      <w:u w:val="none"/>
    </w:rPr>
  </w:style>
  <w:style w:type="character" w:styleId="37">
    <w:name w:val="Hyperlink"/>
    <w:basedOn w:val="34"/>
    <w:autoRedefine/>
    <w:unhideWhenUsed/>
    <w:qFormat/>
    <w:uiPriority w:val="99"/>
    <w:rPr>
      <w:color w:val="0000FF" w:themeColor="hyperlink"/>
      <w:u w:val="single"/>
      <w14:textFill>
        <w14:solidFill>
          <w14:schemeClr w14:val="hlink"/>
        </w14:solidFill>
      </w14:textFill>
    </w:rPr>
  </w:style>
  <w:style w:type="character" w:styleId="38">
    <w:name w:val="HTML Code"/>
    <w:basedOn w:val="34"/>
    <w:autoRedefine/>
    <w:semiHidden/>
    <w:unhideWhenUsed/>
    <w:qFormat/>
    <w:uiPriority w:val="99"/>
    <w:rPr>
      <w:rFonts w:ascii="Courier New" w:hAnsi="Courier New"/>
      <w:sz w:val="20"/>
    </w:rPr>
  </w:style>
  <w:style w:type="character" w:styleId="39">
    <w:name w:val="annotation reference"/>
    <w:basedOn w:val="34"/>
    <w:autoRedefine/>
    <w:semiHidden/>
    <w:unhideWhenUsed/>
    <w:qFormat/>
    <w:uiPriority w:val="99"/>
    <w:rPr>
      <w:sz w:val="21"/>
      <w:szCs w:val="21"/>
    </w:rPr>
  </w:style>
  <w:style w:type="character" w:customStyle="1" w:styleId="40">
    <w:name w:val="标题 1 Char"/>
    <w:basedOn w:val="34"/>
    <w:link w:val="6"/>
    <w:autoRedefine/>
    <w:qFormat/>
    <w:uiPriority w:val="9"/>
    <w:rPr>
      <w:b/>
      <w:bCs/>
      <w:kern w:val="44"/>
      <w:sz w:val="44"/>
      <w:szCs w:val="44"/>
    </w:rPr>
  </w:style>
  <w:style w:type="character" w:customStyle="1" w:styleId="41">
    <w:name w:val="标题 2 Char"/>
    <w:basedOn w:val="34"/>
    <w:link w:val="7"/>
    <w:autoRedefine/>
    <w:qFormat/>
    <w:uiPriority w:val="0"/>
    <w:rPr>
      <w:rFonts w:ascii="Arial" w:hAnsi="Arial" w:eastAsia="黑体" w:cs="Times New Roman"/>
      <w:b/>
      <w:sz w:val="32"/>
      <w:szCs w:val="20"/>
    </w:rPr>
  </w:style>
  <w:style w:type="character" w:customStyle="1" w:styleId="42">
    <w:name w:val="标题 3 Char"/>
    <w:basedOn w:val="34"/>
    <w:link w:val="8"/>
    <w:autoRedefine/>
    <w:qFormat/>
    <w:uiPriority w:val="9"/>
    <w:rPr>
      <w:b/>
      <w:bCs/>
      <w:sz w:val="32"/>
      <w:szCs w:val="32"/>
    </w:rPr>
  </w:style>
  <w:style w:type="character" w:customStyle="1" w:styleId="43">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4">
    <w:name w:val="Default"/>
    <w:next w:val="45"/>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5">
    <w:name w:val="Char Char10 Char Char Char Char"/>
    <w:basedOn w:val="1"/>
    <w:next w:val="46"/>
    <w:autoRedefine/>
    <w:qFormat/>
    <w:uiPriority w:val="0"/>
    <w:rPr>
      <w:rFonts w:ascii="Calibri" w:hAnsi="Calibri"/>
      <w:kern w:val="0"/>
    </w:rPr>
  </w:style>
  <w:style w:type="paragraph" w:customStyle="1" w:styleId="46">
    <w:name w:val="xl87"/>
    <w:basedOn w:val="1"/>
    <w:next w:val="47"/>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7">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4"/>
    <w:link w:val="14"/>
    <w:autoRedefine/>
    <w:semiHidden/>
    <w:qFormat/>
    <w:uiPriority w:val="99"/>
    <w:rPr>
      <w:sz w:val="16"/>
      <w:szCs w:val="16"/>
    </w:rPr>
  </w:style>
  <w:style w:type="character" w:customStyle="1" w:styleId="53">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4"/>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4"/>
    <w:link w:val="19"/>
    <w:autoRedefine/>
    <w:semiHidden/>
    <w:qFormat/>
    <w:uiPriority w:val="99"/>
    <w:rPr>
      <w:kern w:val="2"/>
      <w:sz w:val="21"/>
      <w:szCs w:val="22"/>
    </w:rPr>
  </w:style>
  <w:style w:type="character" w:customStyle="1" w:styleId="57">
    <w:name w:val="页脚 Char"/>
    <w:basedOn w:val="34"/>
    <w:link w:val="21"/>
    <w:autoRedefine/>
    <w:qFormat/>
    <w:uiPriority w:val="99"/>
    <w:rPr>
      <w:sz w:val="18"/>
      <w:szCs w:val="18"/>
    </w:rPr>
  </w:style>
  <w:style w:type="character" w:customStyle="1" w:styleId="58">
    <w:name w:val="页眉 Char"/>
    <w:basedOn w:val="34"/>
    <w:link w:val="22"/>
    <w:autoRedefine/>
    <w:qFormat/>
    <w:uiPriority w:val="99"/>
    <w:rPr>
      <w:sz w:val="18"/>
      <w:szCs w:val="18"/>
    </w:rPr>
  </w:style>
  <w:style w:type="character" w:customStyle="1" w:styleId="59">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4"/>
    <w:autoRedefine/>
    <w:semiHidden/>
    <w:qFormat/>
    <w:uiPriority w:val="99"/>
  </w:style>
  <w:style w:type="character" w:customStyle="1" w:styleId="64">
    <w:name w:val="纯文本 Char1"/>
    <w:basedOn w:val="34"/>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qFormat/>
    <w:uiPriority w:val="0"/>
    <w:rPr>
      <w:rFonts w:ascii="Calibri" w:hAnsi="Calibri"/>
      <w:kern w:val="2"/>
      <w:sz w:val="21"/>
      <w:szCs w:val="22"/>
    </w:rPr>
  </w:style>
  <w:style w:type="character" w:customStyle="1" w:styleId="140">
    <w:name w:val="纯文本 字符1"/>
    <w:qFormat/>
    <w:uiPriority w:val="0"/>
    <w:rPr>
      <w:rFonts w:ascii="宋体" w:hAnsi="Courier New"/>
      <w:kern w:val="2"/>
      <w:sz w:val="21"/>
    </w:rPr>
  </w:style>
  <w:style w:type="character" w:customStyle="1" w:styleId="141">
    <w:name w:val="列出段落 Char"/>
    <w:link w:val="68"/>
    <w:qFormat/>
    <w:locked/>
    <w:uiPriority w:val="34"/>
    <w:rPr>
      <w:rFonts w:asciiTheme="minorHAnsi" w:hAnsiTheme="minorHAnsi" w:eastAsiaTheme="minorEastAsia" w:cstheme="minorBidi"/>
      <w:kern w:val="2"/>
      <w:sz w:val="21"/>
      <w:szCs w:val="22"/>
    </w:rPr>
  </w:style>
  <w:style w:type="character" w:customStyle="1" w:styleId="142">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4"/>
    <w:autoRedefine/>
    <w:qFormat/>
    <w:uiPriority w:val="0"/>
  </w:style>
  <w:style w:type="character" w:customStyle="1" w:styleId="144">
    <w:name w:val="hover17"/>
    <w:basedOn w:val="34"/>
    <w:qFormat/>
    <w:uiPriority w:val="0"/>
  </w:style>
  <w:style w:type="character" w:customStyle="1" w:styleId="145">
    <w:name w:val="NormalCharacter"/>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4"/>
    <w:qFormat/>
    <w:uiPriority w:val="0"/>
    <w:rPr>
      <w:color w:val="B1B1B1"/>
      <w:sz w:val="18"/>
      <w:szCs w:val="18"/>
    </w:rPr>
  </w:style>
  <w:style w:type="paragraph" w:styleId="149">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qFormat/>
    <w:uiPriority w:val="0"/>
    <w:pPr>
      <w:spacing w:line="360" w:lineRule="auto"/>
      <w:ind w:firstLine="420" w:firstLineChars="200"/>
    </w:pPr>
    <w:rPr>
      <w:rFonts w:ascii="宋体" w:hAnsi="宋体"/>
    </w:rPr>
  </w:style>
  <w:style w:type="paragraph" w:customStyle="1" w:styleId="151">
    <w:name w:val="列表段落1"/>
    <w:basedOn w:val="1"/>
    <w:unhideWhenUsed/>
    <w:qFormat/>
    <w:uiPriority w:val="34"/>
    <w:pPr>
      <w:ind w:firstLine="420" w:firstLineChars="200"/>
    </w:pPr>
  </w:style>
  <w:style w:type="paragraph" w:customStyle="1" w:styleId="152">
    <w:name w:val="正文_13_0"/>
    <w:basedOn w:val="1"/>
    <w:qFormat/>
    <w:uiPriority w:val="0"/>
    <w:rPr>
      <w:szCs w:val="21"/>
    </w:rPr>
  </w:style>
  <w:style w:type="paragraph" w:customStyle="1" w:styleId="153">
    <w:name w:val="正文1"/>
    <w:basedOn w:val="1"/>
    <w:next w:val="154"/>
    <w:qFormat/>
    <w:uiPriority w:val="0"/>
    <w:pPr>
      <w:spacing w:line="380" w:lineRule="exact"/>
      <w:jc w:val="center"/>
    </w:pPr>
    <w:rPr>
      <w:rFonts w:ascii="黑体" w:eastAsia="黑体"/>
    </w:rPr>
  </w:style>
  <w:style w:type="paragraph" w:customStyle="1" w:styleId="154">
    <w:name w:val="表格"/>
    <w:basedOn w:val="1"/>
    <w:next w:val="155"/>
    <w:qFormat/>
    <w:uiPriority w:val="0"/>
    <w:pPr>
      <w:jc w:val="center"/>
    </w:pPr>
    <w:rPr>
      <w:rFonts w:ascii="华文细黑"/>
    </w:rPr>
  </w:style>
  <w:style w:type="paragraph" w:customStyle="1" w:styleId="155">
    <w:name w:val="空半行"/>
    <w:basedOn w:val="1"/>
    <w:next w:val="156"/>
    <w:qFormat/>
    <w:uiPriority w:val="0"/>
    <w:pPr>
      <w:spacing w:line="120" w:lineRule="exact"/>
    </w:pPr>
    <w:rPr>
      <w:rFonts w:eastAsia="仿宋_GB2312"/>
      <w:color w:val="FFFFFF"/>
      <w:sz w:val="30"/>
    </w:rPr>
  </w:style>
  <w:style w:type="paragraph" w:customStyle="1" w:styleId="156">
    <w:name w:val="样式"/>
    <w:next w:val="93"/>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qFormat/>
    <w:uiPriority w:val="99"/>
    <w:pPr>
      <w:spacing w:line="400" w:lineRule="exact"/>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36</Pages>
  <Words>4952</Words>
  <Characters>5118</Characters>
  <Lines>315</Lines>
  <Paragraphs>88</Paragraphs>
  <TotalTime>1</TotalTime>
  <ScaleCrop>false</ScaleCrop>
  <LinksUpToDate>false</LinksUpToDate>
  <CharactersWithSpaces>5900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2025-04-15T07:07:06Z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E0D78F60C8254CB7A225A12866EB8A98_13</vt:lpwstr>
  </property>
  <property fmtid="{D5CDD505-2E9C-101B-9397-08002B2CF9AE}" pid="4" name="KSOTemplateDocerSaveRecord">
    <vt:lpwstr>eyJoZGlkIjoiNDdiYzIwYzJkY2VlZTA0OGY0ZGI2YmQyZmFjZDk5NjQiLCJ1c2VySWQiOiIzNDU5NTk2NDkifQ==</vt:lpwstr>
  </property>
</Properties>
</file>