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eastAsiaTheme="minorEastAsia"/>
          <w:highlight w:val="none"/>
          <w:lang w:eastAsia="zh-CN"/>
        </w:rPr>
        <w:t>河南省胸科医院医院自制饮用水生产及配送服务</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7"/>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080</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cyan"/>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8</w:t>
      </w:r>
      <w:r>
        <w:rPr>
          <w:rFonts w:hint="eastAsia" w:ascii="宋体" w:hAnsi="宋体" w:cs="宋体"/>
          <w:b/>
          <w:sz w:val="30"/>
          <w:szCs w:val="30"/>
          <w:highlight w:val="none"/>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18E4F138">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lang w:eastAsia="zh-CN"/>
        </w:rPr>
      </w:pPr>
      <w:r>
        <w:rPr>
          <w:rFonts w:hint="eastAsia" w:ascii="宋体" w:hAnsi="宋体"/>
          <w:b/>
          <w:sz w:val="28"/>
          <w:szCs w:val="28"/>
          <w:lang w:eastAsia="zh-CN"/>
        </w:rPr>
        <w:t xml:space="preserve">河南省胸科医院医院自制饮用水生产及配送服务 </w:t>
      </w:r>
    </w:p>
    <w:p w14:paraId="35ADF7F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092" w:firstLineChars="1100"/>
        <w:jc w:val="both"/>
        <w:textAlignment w:val="auto"/>
        <w:rPr>
          <w:rFonts w:hint="eastAsia" w:ascii="宋体" w:hAnsi="宋体"/>
          <w:b/>
          <w:sz w:val="28"/>
          <w:szCs w:val="28"/>
          <w:lang w:eastAsia="zh-CN"/>
        </w:rPr>
      </w:pPr>
      <w:r>
        <w:rPr>
          <w:rFonts w:hint="eastAsia" w:ascii="宋体" w:hAnsi="宋体"/>
          <w:b/>
          <w:sz w:val="28"/>
          <w:szCs w:val="28"/>
          <w:lang w:eastAsia="zh-CN"/>
        </w:rPr>
        <w:t>公开议价公告</w:t>
      </w:r>
    </w:p>
    <w:p w14:paraId="79C2658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766AD8B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河南省胸科医院医院自制饮用水生产及配送服务</w:t>
      </w:r>
      <w:r>
        <w:rPr>
          <w:rFonts w:hint="default" w:asciiTheme="minorEastAsia" w:hAnsiTheme="minorEastAsia" w:eastAsiaTheme="minorEastAsia" w:cstheme="minorEastAsia"/>
          <w:color w:val="333333"/>
          <w:sz w:val="24"/>
          <w:szCs w:val="24"/>
        </w:rPr>
        <w:t>。</w:t>
      </w:r>
    </w:p>
    <w:p w14:paraId="2B5DCB6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3E273A6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保障各科室饮用水使用医院自制饮用水生产及配送</w:t>
      </w:r>
    </w:p>
    <w:p w14:paraId="5AEFFD6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56B4B1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38</w:t>
      </w:r>
      <w:r>
        <w:rPr>
          <w:rFonts w:hint="default" w:asciiTheme="minorEastAsia" w:hAnsiTheme="minorEastAsia" w:eastAsiaTheme="minorEastAsia" w:cstheme="minorEastAsia"/>
          <w:color w:val="333333"/>
          <w:sz w:val="24"/>
          <w:szCs w:val="24"/>
          <w:highlight w:val="none"/>
        </w:rPr>
        <w:t>万元。</w:t>
      </w:r>
    </w:p>
    <w:p w14:paraId="3FC9560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3EABA8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6DAE8B3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0DA090A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20396B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30F26F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2FA71DA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15C6832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358FFD3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428D84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589C22E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2736A32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7589629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601CF12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4FE8B73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4ECD0DA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72B0765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2858E7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476A455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0783422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1114BA6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32F0FE5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015E169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7588A69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4E46940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2FFCA2E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4EFA25B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2A6E348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AC1A2C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6741D7A">
      <w:pPr>
        <w:pStyle w:val="26"/>
        <w:spacing w:before="0" w:beforeAutospacing="0" w:after="0" w:afterAutospacing="0" w:line="360" w:lineRule="auto"/>
        <w:rPr>
          <w:spacing w:val="7"/>
        </w:rPr>
      </w:pPr>
    </w:p>
    <w:p w14:paraId="0AFB8CA5">
      <w:pPr>
        <w:pStyle w:val="26"/>
        <w:spacing w:before="0" w:beforeAutospacing="0" w:after="0" w:afterAutospacing="0" w:line="360" w:lineRule="auto"/>
        <w:rPr>
          <w:spacing w:val="7"/>
        </w:rPr>
      </w:pPr>
    </w:p>
    <w:p w14:paraId="2C63BAF0">
      <w:pPr>
        <w:pStyle w:val="26"/>
        <w:spacing w:before="0" w:beforeAutospacing="0" w:after="0" w:afterAutospacing="0" w:line="360" w:lineRule="auto"/>
        <w:rPr>
          <w:spacing w:val="7"/>
        </w:rPr>
      </w:pPr>
    </w:p>
    <w:p w14:paraId="1810AA32">
      <w:pPr>
        <w:pStyle w:val="26"/>
        <w:spacing w:before="0" w:beforeAutospacing="0" w:after="0" w:afterAutospacing="0" w:line="360" w:lineRule="auto"/>
        <w:rPr>
          <w:spacing w:val="7"/>
        </w:rPr>
      </w:pPr>
    </w:p>
    <w:p w14:paraId="1EBD1962">
      <w:pPr>
        <w:pStyle w:val="26"/>
        <w:spacing w:before="0" w:beforeAutospacing="0" w:after="0" w:afterAutospacing="0" w:line="360" w:lineRule="auto"/>
        <w:rPr>
          <w:spacing w:val="7"/>
        </w:rPr>
      </w:pPr>
    </w:p>
    <w:p w14:paraId="65B1D77B">
      <w:pPr>
        <w:pStyle w:val="26"/>
        <w:spacing w:before="0" w:beforeAutospacing="0" w:after="0" w:afterAutospacing="0" w:line="360" w:lineRule="auto"/>
        <w:rPr>
          <w:spacing w:val="7"/>
        </w:rPr>
      </w:pPr>
    </w:p>
    <w:p w14:paraId="4906C5BF">
      <w:pPr>
        <w:pStyle w:val="26"/>
        <w:spacing w:before="0" w:beforeAutospacing="0" w:after="0" w:afterAutospacing="0" w:line="360" w:lineRule="auto"/>
        <w:rPr>
          <w:spacing w:val="7"/>
        </w:rPr>
      </w:pPr>
    </w:p>
    <w:p w14:paraId="4D07AABE">
      <w:pPr>
        <w:pStyle w:val="26"/>
        <w:spacing w:before="0" w:beforeAutospacing="0" w:after="0" w:afterAutospacing="0" w:line="360" w:lineRule="auto"/>
        <w:rPr>
          <w:spacing w:val="7"/>
        </w:rPr>
      </w:pPr>
    </w:p>
    <w:p w14:paraId="7CF053E7">
      <w:pPr>
        <w:pStyle w:val="26"/>
        <w:spacing w:before="0" w:beforeAutospacing="0" w:after="0" w:afterAutospacing="0" w:line="360" w:lineRule="auto"/>
        <w:rPr>
          <w:spacing w:val="7"/>
        </w:rPr>
      </w:pPr>
    </w:p>
    <w:p w14:paraId="55CA1BA7">
      <w:pPr>
        <w:pStyle w:val="26"/>
        <w:spacing w:before="0" w:beforeAutospacing="0" w:after="0" w:afterAutospacing="0" w:line="360" w:lineRule="auto"/>
        <w:rPr>
          <w:spacing w:val="7"/>
        </w:rPr>
      </w:pPr>
    </w:p>
    <w:p w14:paraId="70EDCB00">
      <w:pPr>
        <w:pStyle w:val="26"/>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180CCF8A">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755E8A7B">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653A2F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2C496D15">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4E8886AC">
            <w:pPr>
              <w:pStyle w:val="27"/>
              <w:rPr>
                <w:rFonts w:hint="eastAsia"/>
                <w:highlight w:val="none"/>
                <w:lang w:val="en-US" w:eastAsia="zh-CN"/>
              </w:rPr>
            </w:pPr>
          </w:p>
          <w:p w14:paraId="382EAF03">
            <w:pPr>
              <w:spacing w:line="360" w:lineRule="auto"/>
              <w:ind w:firstLine="240" w:firstLineChars="100"/>
              <w:jc w:val="left"/>
              <w:rPr>
                <w:rFonts w:hint="eastAsia" w:ascii="宋体" w:hAnsi="宋体"/>
                <w:sz w:val="24"/>
                <w:highlight w:val="none"/>
                <w:lang w:val="en-US" w:eastAsia="zh-CN"/>
              </w:rPr>
            </w:pPr>
          </w:p>
          <w:p w14:paraId="7CD06FE4">
            <w:pPr>
              <w:spacing w:line="360" w:lineRule="auto"/>
              <w:ind w:firstLine="240" w:firstLineChars="100"/>
              <w:jc w:val="left"/>
              <w:rPr>
                <w:rFonts w:hint="eastAsia" w:ascii="宋体" w:hAnsi="宋体"/>
                <w:sz w:val="24"/>
                <w:highlight w:val="none"/>
                <w:lang w:val="en-US" w:eastAsia="zh-CN"/>
              </w:rPr>
            </w:pPr>
          </w:p>
          <w:p w14:paraId="0A6FC458">
            <w:pPr>
              <w:pStyle w:val="27"/>
              <w:rPr>
                <w:rFonts w:hint="eastAsia"/>
                <w:highlight w:val="none"/>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议价时间另行通知（关注邮箱及官网）</w:t>
            </w:r>
          </w:p>
          <w:p w14:paraId="4DDC5709">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20BC34CA">
      <w:pPr>
        <w:pStyle w:val="27"/>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val="0"/>
          <w:color w:val="auto"/>
          <w:kern w:val="2"/>
          <w:sz w:val="32"/>
          <w:szCs w:val="32"/>
          <w:lang w:val="en-US" w:eastAsia="zh-CN" w:bidi="ar-SA"/>
        </w:rPr>
      </w:pPr>
      <w:bookmarkStart w:id="1" w:name="_Toc476419059"/>
      <w:bookmarkStart w:id="2" w:name="_Toc476420856"/>
      <w:bookmarkStart w:id="3" w:name="_Toc533344015"/>
      <w:bookmarkStart w:id="4" w:name="_Toc155249524"/>
      <w:bookmarkStart w:id="5" w:name="_Toc169314184"/>
      <w:bookmarkStart w:id="6" w:name="_Toc29773"/>
      <w:bookmarkStart w:id="7" w:name="_Toc63697600"/>
      <w:bookmarkStart w:id="8" w:name="_Toc155249520"/>
      <w:r>
        <w:rPr>
          <w:rFonts w:hint="eastAsia" w:ascii="黑体" w:hAnsi="黑体" w:eastAsia="黑体" w:cs="黑体"/>
          <w:b w:val="0"/>
          <w:bCs w:val="0"/>
          <w:color w:val="auto"/>
          <w:kern w:val="2"/>
          <w:sz w:val="32"/>
          <w:szCs w:val="32"/>
          <w:lang w:val="en-US" w:eastAsia="zh-CN" w:bidi="ar-SA"/>
        </w:rPr>
        <w:t>技术要求：</w:t>
      </w:r>
    </w:p>
    <w:bookmarkEnd w:id="1"/>
    <w:bookmarkEnd w:id="2"/>
    <w:bookmarkEnd w:id="3"/>
    <w:bookmarkEnd w:id="4"/>
    <w:bookmarkEnd w:id="5"/>
    <w:bookmarkEnd w:id="6"/>
    <w:bookmarkEnd w:id="7"/>
    <w:bookmarkEnd w:id="8"/>
    <w:p w14:paraId="30AD9D10">
      <w:pPr>
        <w:spacing w:line="220" w:lineRule="atLeast"/>
        <w:rPr>
          <w:rFonts w:hint="eastAsia" w:ascii="宋体" w:hAnsi="宋体"/>
          <w:sz w:val="30"/>
          <w:szCs w:val="30"/>
        </w:rPr>
      </w:pPr>
      <w:r>
        <w:rPr>
          <w:rFonts w:hint="eastAsia" w:ascii="宋体" w:hAnsi="宋体"/>
          <w:sz w:val="30"/>
          <w:szCs w:val="30"/>
        </w:rPr>
        <w:t>1.保证生产合格、安全的饮用水，生产过程流程合理、操作规范。饮用水的卫生及矿物质含量要达到相关卫生标准、质量技术要求。做到每年不少于两次检测水质，桶装水和瓶装水的卫生及技术指标要达到国家标准（</w:t>
      </w:r>
      <w:r>
        <w:rPr>
          <w:rFonts w:hint="eastAsia"/>
          <w:sz w:val="28"/>
          <w:szCs w:val="28"/>
        </w:rPr>
        <w:t>GB 5749-2022</w:t>
      </w:r>
      <w:r>
        <w:rPr>
          <w:rFonts w:hint="eastAsia" w:ascii="宋体" w:hAnsi="宋体"/>
          <w:sz w:val="30"/>
          <w:szCs w:val="30"/>
        </w:rPr>
        <w:t>），每两月提供一次微生物及污染物检测报告单，每半年提供一次全面检测报告单。</w:t>
      </w:r>
    </w:p>
    <w:p w14:paraId="3F0A6E34">
      <w:pPr>
        <w:spacing w:line="220" w:lineRule="atLeast"/>
        <w:rPr>
          <w:rFonts w:hint="eastAsia" w:ascii="宋体" w:hAnsi="宋体"/>
          <w:sz w:val="30"/>
          <w:szCs w:val="30"/>
        </w:rPr>
      </w:pPr>
      <w:r>
        <w:rPr>
          <w:rFonts w:hint="eastAsia" w:ascii="宋体" w:hAnsi="宋体"/>
          <w:sz w:val="30"/>
          <w:szCs w:val="30"/>
        </w:rPr>
        <w:t>2..投标方定期保养制水设备，根据生产数量及时更换各种透滤膜。保障设备正常使用安全生产，因维修保养产生的费用由供方承担。</w:t>
      </w:r>
    </w:p>
    <w:p w14:paraId="4FE5A2F6">
      <w:pPr>
        <w:spacing w:line="220" w:lineRule="atLeast"/>
        <w:rPr>
          <w:rFonts w:hint="eastAsia" w:ascii="宋体" w:hAnsi="宋体"/>
          <w:sz w:val="30"/>
          <w:szCs w:val="30"/>
        </w:rPr>
      </w:pPr>
      <w:r>
        <w:rPr>
          <w:rFonts w:hint="eastAsia" w:ascii="宋体" w:hAnsi="宋体"/>
          <w:sz w:val="30"/>
          <w:szCs w:val="30"/>
        </w:rPr>
        <w:t>3.本项目桶装水以容量17.8L，瓶装水容量350ml计算单位。</w:t>
      </w:r>
    </w:p>
    <w:p w14:paraId="1894170C">
      <w:pPr>
        <w:pStyle w:val="27"/>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val="0"/>
          <w:color w:val="auto"/>
          <w:kern w:val="2"/>
          <w:sz w:val="32"/>
          <w:szCs w:val="32"/>
          <w:lang w:val="en-US" w:eastAsia="zh-CN" w:bidi="ar-SA"/>
        </w:rPr>
      </w:pPr>
      <w:bookmarkStart w:id="61" w:name="_GoBack"/>
      <w:bookmarkEnd w:id="61"/>
      <w:r>
        <w:rPr>
          <w:rFonts w:hint="eastAsia" w:ascii="黑体" w:hAnsi="黑体" w:eastAsia="黑体" w:cs="黑体"/>
          <w:b w:val="0"/>
          <w:bCs w:val="0"/>
          <w:color w:val="auto"/>
          <w:kern w:val="2"/>
          <w:sz w:val="32"/>
          <w:szCs w:val="32"/>
          <w:lang w:val="en-US" w:eastAsia="zh-CN" w:bidi="ar-SA"/>
        </w:rPr>
        <w:t>商务要求：</w:t>
      </w:r>
    </w:p>
    <w:p w14:paraId="4172E6D1">
      <w:pPr>
        <w:pStyle w:val="68"/>
        <w:spacing w:line="220" w:lineRule="atLeast"/>
        <w:ind w:firstLine="0" w:firstLineChars="0"/>
        <w:rPr>
          <w:rFonts w:hint="eastAsia" w:ascii="宋体" w:hAnsi="宋体"/>
          <w:sz w:val="30"/>
          <w:szCs w:val="30"/>
        </w:rPr>
      </w:pPr>
      <w:r>
        <w:rPr>
          <w:rFonts w:hint="eastAsia" w:ascii="宋体" w:hAnsi="宋体"/>
          <w:sz w:val="30"/>
          <w:szCs w:val="30"/>
        </w:rPr>
        <w:t>1.供</w:t>
      </w:r>
      <w:r>
        <w:rPr>
          <w:sz w:val="32"/>
        </w:rPr>
        <w:t>方需提供相关营业执照，从业人员健康证</w:t>
      </w:r>
      <w:r>
        <w:rPr>
          <w:rFonts w:hint="eastAsia"/>
          <w:sz w:val="32"/>
        </w:rPr>
        <w:t>等相关材料。</w:t>
      </w:r>
      <w:r>
        <w:rPr>
          <w:rFonts w:hint="eastAsia" w:ascii="宋体" w:hAnsi="宋体"/>
          <w:sz w:val="30"/>
          <w:szCs w:val="30"/>
        </w:rPr>
        <w:t>负责医院科室及院内职工桶装水、瓶装水的生产及运送工作，做到满足供应及时送达。</w:t>
      </w:r>
    </w:p>
    <w:p w14:paraId="6199A236">
      <w:pPr>
        <w:pStyle w:val="68"/>
        <w:spacing w:line="220" w:lineRule="atLeast"/>
        <w:ind w:firstLine="0" w:firstLineChars="0"/>
        <w:rPr>
          <w:rFonts w:hint="eastAsia" w:ascii="宋体" w:hAnsi="宋体"/>
          <w:sz w:val="30"/>
          <w:szCs w:val="30"/>
        </w:rPr>
      </w:pPr>
      <w:r>
        <w:rPr>
          <w:rFonts w:hint="eastAsia" w:ascii="宋体" w:hAnsi="宋体"/>
          <w:sz w:val="30"/>
          <w:szCs w:val="30"/>
        </w:rPr>
        <w:t>2.需方提供饮用水生产及办公用房、饮用水生产设备、桌椅、电话等基础设施。</w:t>
      </w:r>
    </w:p>
    <w:p w14:paraId="27B40BF9">
      <w:pPr>
        <w:spacing w:line="220" w:lineRule="atLeast"/>
        <w:rPr>
          <w:rFonts w:hint="eastAsia" w:ascii="宋体" w:hAnsi="宋体"/>
          <w:sz w:val="30"/>
          <w:szCs w:val="30"/>
        </w:rPr>
      </w:pPr>
      <w:r>
        <w:rPr>
          <w:rFonts w:hint="eastAsia" w:ascii="宋体" w:hAnsi="宋体"/>
          <w:sz w:val="30"/>
          <w:szCs w:val="30"/>
        </w:rPr>
        <w:t>3.供方承担生产桶装及瓶装饮用水的相关费用（固定电话、水、电等费用）管理责任以及法律责任。</w:t>
      </w:r>
    </w:p>
    <w:p w14:paraId="5579084D">
      <w:pPr>
        <w:spacing w:line="220" w:lineRule="atLeast"/>
        <w:rPr>
          <w:rFonts w:ascii="宋体" w:hAnsi="宋体"/>
          <w:sz w:val="30"/>
          <w:szCs w:val="30"/>
        </w:rPr>
      </w:pPr>
      <w:r>
        <w:rPr>
          <w:rFonts w:hint="eastAsia" w:ascii="宋体" w:hAnsi="宋体"/>
          <w:sz w:val="30"/>
          <w:szCs w:val="30"/>
        </w:rPr>
        <w:t>4.供方承担饮用水桶的购买、回收及消毒工作，水桶押金的收取和退回由其负责管理。控制单价3元/桶，11元/件（每件15瓶）</w:t>
      </w:r>
    </w:p>
    <w:p w14:paraId="42CD9486">
      <w:pPr>
        <w:pStyle w:val="68"/>
        <w:spacing w:line="220" w:lineRule="atLeast"/>
        <w:ind w:firstLine="0" w:firstLineChars="0"/>
        <w:rPr>
          <w:rFonts w:hint="eastAsia" w:ascii="宋体" w:hAnsi="宋体"/>
          <w:sz w:val="30"/>
          <w:szCs w:val="30"/>
        </w:rPr>
      </w:pPr>
      <w:r>
        <w:rPr>
          <w:rFonts w:hint="eastAsia" w:ascii="宋体" w:hAnsi="宋体"/>
          <w:sz w:val="30"/>
          <w:szCs w:val="30"/>
        </w:rPr>
        <w:t>5.服务期限：一年</w:t>
      </w:r>
    </w:p>
    <w:p w14:paraId="0BFF381F">
      <w:pPr>
        <w:pStyle w:val="68"/>
        <w:spacing w:line="220" w:lineRule="atLeast"/>
        <w:ind w:firstLine="0" w:firstLineChars="0"/>
        <w:rPr>
          <w:rFonts w:hint="eastAsia" w:ascii="宋体" w:hAnsi="宋体"/>
          <w:sz w:val="30"/>
          <w:szCs w:val="30"/>
        </w:rPr>
      </w:pPr>
      <w:r>
        <w:rPr>
          <w:rFonts w:hint="eastAsia" w:ascii="宋体" w:hAnsi="宋体"/>
          <w:sz w:val="30"/>
          <w:szCs w:val="30"/>
        </w:rPr>
        <w:t>6.履约保证金：无</w:t>
      </w:r>
    </w:p>
    <w:p w14:paraId="06D23A13">
      <w:pPr>
        <w:spacing w:line="220" w:lineRule="atLeast"/>
        <w:rPr>
          <w:rFonts w:hint="eastAsia" w:ascii="宋体" w:hAnsi="宋体"/>
          <w:sz w:val="30"/>
          <w:szCs w:val="30"/>
        </w:rPr>
      </w:pPr>
      <w:r>
        <w:rPr>
          <w:rFonts w:hint="eastAsia" w:ascii="宋体" w:hAnsi="宋体"/>
          <w:sz w:val="30"/>
          <w:szCs w:val="30"/>
        </w:rPr>
        <w:t>7.付款方式：桶装水以单桶/元，瓶装水按件/元（每件15瓶）为单位计价。每两月依据实际总量，据实结算。</w:t>
      </w:r>
    </w:p>
    <w:p w14:paraId="7A47E4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14:paraId="003D7E0E">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7"/>
        <w:rPr>
          <w:rFonts w:hint="eastAsia"/>
        </w:rPr>
      </w:pPr>
    </w:p>
    <w:p w14:paraId="57643ED5">
      <w:pPr>
        <w:rPr>
          <w:rFonts w:hint="eastAsia"/>
        </w:rPr>
      </w:pPr>
    </w:p>
    <w:p w14:paraId="4A31B64B">
      <w:pPr>
        <w:pStyle w:val="27"/>
        <w:rPr>
          <w:rFonts w:hint="eastAsia"/>
        </w:rPr>
      </w:pPr>
    </w:p>
    <w:p w14:paraId="5F51D7AF">
      <w:pPr>
        <w:rPr>
          <w:rFonts w:hint="eastAsia"/>
        </w:rPr>
      </w:pPr>
    </w:p>
    <w:p w14:paraId="3B455305">
      <w:pPr>
        <w:pStyle w:val="27"/>
        <w:rPr>
          <w:rFonts w:hint="eastAsia"/>
        </w:rPr>
      </w:pPr>
    </w:p>
    <w:p w14:paraId="54ACCFB3">
      <w:pPr>
        <w:rPr>
          <w:rFonts w:hint="eastAsia"/>
        </w:rPr>
      </w:pPr>
    </w:p>
    <w:p w14:paraId="625DF09B">
      <w:pPr>
        <w:pStyle w:val="27"/>
        <w:rPr>
          <w:rFonts w:hint="eastAsia"/>
        </w:rPr>
      </w:pPr>
    </w:p>
    <w:p w14:paraId="7070AE07">
      <w:pPr>
        <w:rPr>
          <w:rFonts w:hint="eastAsia"/>
        </w:rPr>
      </w:pPr>
    </w:p>
    <w:p w14:paraId="4C5059FB">
      <w:pPr>
        <w:pStyle w:val="27"/>
        <w:rPr>
          <w:rFonts w:hint="eastAsia"/>
        </w:rPr>
      </w:pPr>
    </w:p>
    <w:p w14:paraId="6C6F618A">
      <w:pPr>
        <w:pStyle w:val="21"/>
        <w:spacing w:before="0" w:after="0"/>
        <w:rPr>
          <w:color w:val="auto"/>
          <w:sz w:val="28"/>
          <w:highlight w:val="none"/>
        </w:rPr>
      </w:pPr>
      <w:bookmarkStart w:id="9" w:name="_Toc24908"/>
      <w:r>
        <w:rPr>
          <w:rFonts w:hint="eastAsia"/>
          <w:color w:val="auto"/>
          <w:sz w:val="28"/>
          <w:highlight w:val="none"/>
        </w:rPr>
        <w:t>第一部分资格证明文件</w:t>
      </w:r>
      <w:bookmarkEnd w:id="9"/>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0" w:name="_Toc2479"/>
      <w:bookmarkStart w:id="11" w:name="_Toc902"/>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13" w:name="_资格证明文件"/>
      <w:bookmarkEnd w:id="13"/>
      <w:bookmarkStart w:id="14" w:name="_Toc31029"/>
      <w:bookmarkStart w:id="15" w:name="_Toc10534"/>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16" w:name="_Toc26111"/>
      <w:bookmarkStart w:id="17" w:name="_Toc11890"/>
      <w:bookmarkStart w:id="18"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2024年度</w:t>
      </w:r>
      <w:r>
        <w:rPr>
          <w:rFonts w:hint="eastAsia" w:ascii="宋体" w:hAnsi="宋体"/>
          <w:color w:val="auto"/>
          <w:sz w:val="24"/>
          <w:highlight w:val="none"/>
        </w:rPr>
        <w:t>经会计</w:t>
      </w:r>
      <w:r>
        <w:rPr>
          <w:rFonts w:hint="eastAsia" w:ascii="宋体" w:hAnsi="宋体"/>
          <w:color w:val="auto"/>
          <w:sz w:val="24"/>
        </w:rPr>
        <w:t xml:space="preserve">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9" w:name="_Toc19319"/>
      <w:bookmarkStart w:id="20" w:name="_Toc24403"/>
      <w:bookmarkStart w:id="21" w:name="_Toc56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7"/>
      </w:pPr>
    </w:p>
    <w:p w14:paraId="7778257D"/>
    <w:p w14:paraId="79993B53">
      <w:pPr>
        <w:pStyle w:val="27"/>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2" w:name="_Toc10542"/>
      <w:bookmarkStart w:id="23" w:name="_Toc1972"/>
    </w:p>
    <w:p w14:paraId="11FCB31D">
      <w:pPr>
        <w:pStyle w:val="4"/>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25" w:name="_Toc8953"/>
      <w:bookmarkStart w:id="26" w:name="_Toc32668"/>
      <w:bookmarkStart w:id="27" w:name="_Toc31728"/>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7"/>
      </w:pPr>
    </w:p>
    <w:p w14:paraId="2F61A676"/>
    <w:p w14:paraId="2719E15B">
      <w:pPr>
        <w:pStyle w:val="27"/>
      </w:pPr>
    </w:p>
    <w:p w14:paraId="0193E053"/>
    <w:p w14:paraId="60308629">
      <w:pPr>
        <w:pStyle w:val="27"/>
      </w:pPr>
    </w:p>
    <w:p w14:paraId="2CF0EC85"/>
    <w:p w14:paraId="5F2B7D70">
      <w:pPr>
        <w:pStyle w:val="27"/>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11219"/>
      <w:bookmarkStart w:id="30" w:name="_Toc28112"/>
      <w:bookmarkStart w:id="31"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1"/>
    <w:p w14:paraId="6D8B67AE">
      <w:pPr>
        <w:bidi w:val="0"/>
        <w:rPr>
          <w:rFonts w:hint="eastAsia"/>
          <w:lang w:eastAsia="zh-CN"/>
        </w:rPr>
      </w:pPr>
      <w:bookmarkStart w:id="32"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7"/>
        <w:rPr>
          <w:sz w:val="24"/>
          <w:szCs w:val="24"/>
        </w:rPr>
      </w:pPr>
    </w:p>
    <w:p w14:paraId="4C9D23A3">
      <w:pPr>
        <w:rPr>
          <w:sz w:val="24"/>
          <w:szCs w:val="24"/>
        </w:rPr>
      </w:pPr>
    </w:p>
    <w:p w14:paraId="2600D314">
      <w:pPr>
        <w:pStyle w:val="27"/>
        <w:rPr>
          <w:sz w:val="24"/>
          <w:szCs w:val="24"/>
        </w:rPr>
      </w:pPr>
    </w:p>
    <w:p w14:paraId="0D39C411">
      <w:pPr>
        <w:rPr>
          <w:sz w:val="24"/>
          <w:szCs w:val="24"/>
        </w:rPr>
      </w:pPr>
    </w:p>
    <w:p w14:paraId="6C29AA19">
      <w:pPr>
        <w:pStyle w:val="27"/>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1"/>
        <w:rPr>
          <w:color w:val="auto"/>
          <w:sz w:val="28"/>
          <w:highlight w:val="none"/>
        </w:rPr>
      </w:pPr>
      <w:bookmarkStart w:id="34" w:name="_Toc29119"/>
      <w:r>
        <w:rPr>
          <w:rFonts w:hint="eastAsia"/>
          <w:color w:val="auto"/>
          <w:sz w:val="28"/>
          <w:highlight w:val="none"/>
        </w:rPr>
        <w:t>第二部分商务、技术文件</w:t>
      </w:r>
      <w:bookmarkEnd w:id="34"/>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35"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784225</wp:posOffset>
                      </wp:positionH>
                      <wp:positionV relativeFrom="paragraph">
                        <wp:posOffset>19050</wp:posOffset>
                      </wp:positionV>
                      <wp:extent cx="896620" cy="289560"/>
                      <wp:effectExtent l="4445" t="4445" r="13335" b="10795"/>
                      <wp:wrapNone/>
                      <wp:docPr id="1" name="文本框 1"/>
                      <wp:cNvGraphicFramePr/>
                      <a:graphic xmlns:a="http://schemas.openxmlformats.org/drawingml/2006/main">
                        <a:graphicData uri="http://schemas.microsoft.com/office/word/2010/wordprocessingShape">
                          <wps:wsp>
                            <wps:cNvSpPr txBox="1"/>
                            <wps:spPr>
                              <a:xfrm>
                                <a:off x="3131185" y="3703955"/>
                                <a:ext cx="896620" cy="289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D46C56">
                                  <w:pPr>
                                    <w:rPr>
                                      <w:rFonts w:hint="default" w:eastAsiaTheme="minorEastAsia"/>
                                      <w:b/>
                                      <w:bCs/>
                                      <w:color w:val="FF0000"/>
                                      <w:lang w:val="en-US" w:eastAsia="zh-CN"/>
                                    </w:rPr>
                                  </w:pPr>
                                  <w:r>
                                    <w:rPr>
                                      <w:rFonts w:hint="eastAsia"/>
                                      <w:b/>
                                      <w:bCs/>
                                      <w:color w:val="FF0000"/>
                                      <w:lang w:val="en-US" w:eastAsia="zh-CN"/>
                                    </w:rPr>
                                    <w:t>报单价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75pt;margin-top:1.5pt;height:22.8pt;width:70.6pt;z-index:251660288;mso-width-relative:page;mso-height-relative:page;" fillcolor="#FFFFFF [3201]" filled="t" stroked="t" coordsize="21600,21600" o:gfxdata="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F0i5/VAAAACAEAAA8AAAAAAAAAAQAgAAAAIgAAAGRycy9kb3ducmV2LnhtbFBLAQIUABQA&#10;AAAIAIdO4kCyEvpkZQIAAMIEAAAOAAAAAAAAAAEAIAAAACQBAABkcnMvZTJvRG9jLnhtbFBLBQYA&#10;AAAABgAGAFkBAAD7BQAAAAA=&#10;">
                      <v:fill on="t" focussize="0,0"/>
                      <v:stroke weight="0.5pt" color="#000000 [3204]" joinstyle="round"/>
                      <v:imagedata o:title=""/>
                      <o:lock v:ext="edit" aspectratio="f"/>
                      <v:textbox>
                        <w:txbxContent>
                          <w:p w14:paraId="22D46C56">
                            <w:pPr>
                              <w:rPr>
                                <w:rFonts w:hint="default" w:eastAsiaTheme="minorEastAsia"/>
                                <w:b/>
                                <w:bCs/>
                                <w:color w:val="FF0000"/>
                                <w:lang w:val="en-US" w:eastAsia="zh-CN"/>
                              </w:rPr>
                            </w:pPr>
                            <w:r>
                              <w:rPr>
                                <w:rFonts w:hint="eastAsia"/>
                                <w:b/>
                                <w:bCs/>
                                <w:color w:val="FF0000"/>
                                <w:lang w:val="en-US" w:eastAsia="zh-CN"/>
                              </w:rPr>
                              <w:t>报单价</w:t>
                            </w:r>
                          </w:p>
                        </w:txbxContent>
                      </v:textbox>
                    </v:shape>
                  </w:pict>
                </mc:Fallback>
              </mc:AlternateContent>
            </w: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57309228">
            <w:pPr>
              <w:tabs>
                <w:tab w:val="left" w:pos="926"/>
                <w:tab w:val="left" w:pos="4335"/>
                <w:tab w:val="left" w:pos="4515"/>
                <w:tab w:val="left" w:pos="7227"/>
              </w:tabs>
              <w:spacing w:line="360" w:lineRule="auto"/>
              <w:jc w:val="left"/>
              <w:rPr>
                <w:highlight w:val="none"/>
              </w:rPr>
            </w:pPr>
          </w:p>
          <w:p w14:paraId="49CB1DFE">
            <w:pPr>
              <w:pStyle w:val="27"/>
              <w:rPr>
                <w:highlight w:val="none"/>
              </w:rPr>
            </w:pPr>
          </w:p>
        </w:tc>
      </w:tr>
    </w:tbl>
    <w:p w14:paraId="3D06DC0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FF0000"/>
          <w:sz w:val="21"/>
          <w:szCs w:val="21"/>
          <w:highlight w:val="none"/>
          <w:lang w:eastAsia="zh-CN"/>
        </w:rPr>
      </w:pPr>
      <w:r>
        <w:rPr>
          <w:rFonts w:hint="eastAsia" w:cs="宋体"/>
          <w:b w:val="0"/>
          <w:bCs/>
          <w:color w:val="FF0000"/>
          <w:sz w:val="21"/>
          <w:szCs w:val="21"/>
          <w:highlight w:val="none"/>
        </w:rPr>
        <w:t>注：1、</w:t>
      </w:r>
      <w:r>
        <w:rPr>
          <w:rFonts w:hint="eastAsia" w:cs="宋体"/>
          <w:b w:val="0"/>
          <w:bCs/>
          <w:color w:val="FF0000"/>
          <w:sz w:val="21"/>
          <w:szCs w:val="21"/>
          <w:highlight w:val="none"/>
          <w:lang w:eastAsia="zh-CN"/>
        </w:rPr>
        <w:t>总报价超过</w:t>
      </w:r>
      <w:r>
        <w:rPr>
          <w:rFonts w:hint="eastAsia" w:cs="宋体"/>
          <w:b w:val="0"/>
          <w:bCs/>
          <w:color w:val="FF0000"/>
          <w:sz w:val="21"/>
          <w:szCs w:val="21"/>
          <w:highlight w:val="none"/>
          <w:lang w:val="en-US" w:eastAsia="zh-CN"/>
        </w:rPr>
        <w:t>控制价</w:t>
      </w:r>
      <w:r>
        <w:rPr>
          <w:rFonts w:hint="eastAsia" w:cs="宋体"/>
          <w:b w:val="0"/>
          <w:bCs/>
          <w:color w:val="FF0000"/>
          <w:sz w:val="21"/>
          <w:szCs w:val="21"/>
          <w:highlight w:val="none"/>
          <w:lang w:eastAsia="zh-CN"/>
        </w:rPr>
        <w:t>按无效响应处理。</w:t>
      </w: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8"/>
        <w:tabs>
          <w:tab w:val="left" w:pos="945"/>
          <w:tab w:val="left" w:pos="1155"/>
        </w:tabs>
        <w:ind w:firstLine="0" w:firstLineChars="0"/>
        <w:rPr>
          <w:rFonts w:hint="eastAsia"/>
        </w:rPr>
      </w:pPr>
    </w:p>
    <w:p w14:paraId="1415C0DD">
      <w:pPr>
        <w:pStyle w:val="28"/>
        <w:tabs>
          <w:tab w:val="left" w:pos="945"/>
          <w:tab w:val="left" w:pos="1155"/>
        </w:tabs>
        <w:ind w:firstLine="0" w:firstLineChars="0"/>
        <w:rPr>
          <w:rFonts w:hint="eastAsia"/>
        </w:rPr>
      </w:pPr>
    </w:p>
    <w:p w14:paraId="626AB2D7">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7"/>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36" w:name="_Toc21266"/>
      <w:bookmarkStart w:id="3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6"/>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6"/>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7"/>
        <w:rPr>
          <w:rFonts w:hint="eastAsia"/>
          <w:lang w:val="en-US" w:eastAsia="zh-CN"/>
        </w:rPr>
      </w:pPr>
    </w:p>
    <w:p w14:paraId="273B3F63">
      <w:pPr>
        <w:rPr>
          <w:rFonts w:hint="eastAsia"/>
          <w:lang w:val="en-US" w:eastAsia="zh-CN"/>
        </w:rPr>
      </w:pPr>
    </w:p>
    <w:p w14:paraId="3EB6FF68">
      <w:pPr>
        <w:pStyle w:val="27"/>
        <w:rPr>
          <w:rFonts w:hint="eastAsia"/>
          <w:lang w:val="en-US" w:eastAsia="zh-CN"/>
        </w:rPr>
      </w:pPr>
    </w:p>
    <w:p w14:paraId="72C7C170">
      <w:pPr>
        <w:rPr>
          <w:rFonts w:hint="eastAsia"/>
          <w:lang w:val="en-US" w:eastAsia="zh-CN"/>
        </w:rPr>
      </w:pPr>
    </w:p>
    <w:p w14:paraId="7FD08D24">
      <w:pPr>
        <w:pStyle w:val="27"/>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7"/>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7"/>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7"/>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7"/>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7"/>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7"/>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7"/>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7"/>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7"/>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7"/>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7"/>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7"/>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7"/>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7"/>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9" w:name="_Toc23117"/>
      <w:bookmarkStart w:id="40"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1" w:name="_Toc20496"/>
      <w:bookmarkStart w:id="42"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43" w:name="_Toc2922"/>
      <w:bookmarkStart w:id="44" w:name="_Toc4948"/>
      <w:bookmarkStart w:id="45" w:name="_Toc304219331"/>
      <w:bookmarkStart w:id="46" w:name="_Toc349642319"/>
      <w:bookmarkStart w:id="47" w:name="_Toc29526"/>
      <w:bookmarkStart w:id="48" w:name="_Toc28583"/>
      <w:bookmarkStart w:id="49" w:name="_Toc320878714"/>
      <w:bookmarkStart w:id="50" w:name="_Toc15867"/>
      <w:bookmarkStart w:id="51" w:name="_Toc10750"/>
      <w:bookmarkStart w:id="52" w:name="_Toc4599"/>
      <w:bookmarkStart w:id="53" w:name="_Toc30765"/>
      <w:bookmarkStart w:id="54" w:name="_Toc337554798"/>
      <w:bookmarkStart w:id="55" w:name="_Toc337475928"/>
      <w:bookmarkStart w:id="56" w:name="_Toc12801"/>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9" w:name="_Toc17593"/>
      <w:bookmarkStart w:id="60" w:name="_Toc11154"/>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58E42E0E"/>
    <w:multiLevelType w:val="singleLevel"/>
    <w:tmpl w:val="58E42E0E"/>
    <w:lvl w:ilvl="0" w:tentative="0">
      <w:start w:val="1"/>
      <w:numFmt w:val="chineseCounting"/>
      <w:suff w:val="nothing"/>
      <w:lvlText w:val="%1、"/>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5459A9"/>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1B07C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5D5A4D"/>
    <w:rsid w:val="2FC35981"/>
    <w:rsid w:val="2FF06D60"/>
    <w:rsid w:val="301349D9"/>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B3039B"/>
    <w:rsid w:val="48F301C0"/>
    <w:rsid w:val="493F4F1D"/>
    <w:rsid w:val="49767A34"/>
    <w:rsid w:val="49B52070"/>
    <w:rsid w:val="49DC1CF5"/>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79A69EC"/>
    <w:rsid w:val="68223A04"/>
    <w:rsid w:val="687666C7"/>
    <w:rsid w:val="68836CDF"/>
    <w:rsid w:val="689A077C"/>
    <w:rsid w:val="6916144E"/>
    <w:rsid w:val="6A7439FA"/>
    <w:rsid w:val="6AB53050"/>
    <w:rsid w:val="6B507DB9"/>
    <w:rsid w:val="6C313409"/>
    <w:rsid w:val="6C672F85"/>
    <w:rsid w:val="6C71333F"/>
    <w:rsid w:val="6C93391D"/>
    <w:rsid w:val="6D337299"/>
    <w:rsid w:val="6D3C2F82"/>
    <w:rsid w:val="6D873BF4"/>
    <w:rsid w:val="6D9D7AAA"/>
    <w:rsid w:val="6DAC7BB0"/>
    <w:rsid w:val="6DB815C9"/>
    <w:rsid w:val="6DF345E6"/>
    <w:rsid w:val="6EBA0BF9"/>
    <w:rsid w:val="6ED670D6"/>
    <w:rsid w:val="6F126C2D"/>
    <w:rsid w:val="6F2F0E22"/>
    <w:rsid w:val="6F7C7E61"/>
    <w:rsid w:val="6FC32402"/>
    <w:rsid w:val="70322F14"/>
    <w:rsid w:val="7064403B"/>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AD60415"/>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Indent"/>
    <w:basedOn w:val="1"/>
    <w:next w:val="13"/>
    <w:link w:val="54"/>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5"/>
    <w:autoRedefine/>
    <w:qFormat/>
    <w:uiPriority w:val="0"/>
    <w:rPr>
      <w:rFonts w:ascii="宋体" w:hAnsi="Courier New"/>
    </w:rPr>
  </w:style>
  <w:style w:type="paragraph" w:styleId="16">
    <w:name w:val="Date"/>
    <w:basedOn w:val="1"/>
    <w:next w:val="1"/>
    <w:link w:val="56"/>
    <w:autoRedefine/>
    <w:semiHidden/>
    <w:unhideWhenUsed/>
    <w:qFormat/>
    <w:uiPriority w:val="99"/>
    <w:pPr>
      <w:ind w:left="100" w:leftChars="2500"/>
    </w:pPr>
  </w:style>
  <w:style w:type="paragraph" w:styleId="17">
    <w:name w:val="Balloon Text"/>
    <w:basedOn w:val="1"/>
    <w:link w:val="137"/>
    <w:autoRedefine/>
    <w:semiHidden/>
    <w:unhideWhenUsed/>
    <w:qFormat/>
    <w:uiPriority w:val="99"/>
    <w:rPr>
      <w:sz w:val="18"/>
      <w:szCs w:val="18"/>
    </w:rPr>
  </w:style>
  <w:style w:type="paragraph" w:styleId="18">
    <w:name w:val="footer"/>
    <w:basedOn w:val="1"/>
    <w:link w:val="57"/>
    <w:autoRedefine/>
    <w:unhideWhenUsed/>
    <w:qFormat/>
    <w:uiPriority w:val="99"/>
    <w:pPr>
      <w:tabs>
        <w:tab w:val="center" w:pos="4153"/>
        <w:tab w:val="right" w:pos="8306"/>
      </w:tabs>
      <w:snapToGrid w:val="0"/>
      <w:jc w:val="left"/>
    </w:pPr>
    <w:rPr>
      <w:sz w:val="18"/>
      <w:szCs w:val="18"/>
    </w:rPr>
  </w:style>
  <w:style w:type="paragraph" w:styleId="19">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1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FollowedHyperlink"/>
    <w:basedOn w:val="31"/>
    <w:autoRedefine/>
    <w:semiHidden/>
    <w:unhideWhenUsed/>
    <w:qFormat/>
    <w:uiPriority w:val="99"/>
    <w:rPr>
      <w:color w:val="444444"/>
      <w:sz w:val="21"/>
      <w:szCs w:val="21"/>
      <w:u w:val="none"/>
    </w:rPr>
  </w:style>
  <w:style w:type="character" w:styleId="34">
    <w:name w:val="Hyperlink"/>
    <w:basedOn w:val="31"/>
    <w:autoRedefine/>
    <w:unhideWhenUsed/>
    <w:qFormat/>
    <w:uiPriority w:val="99"/>
    <w:rPr>
      <w:color w:val="0000FF" w:themeColor="hyperlink"/>
      <w:u w:val="single"/>
      <w14:textFill>
        <w14:solidFill>
          <w14:schemeClr w14:val="hlink"/>
        </w14:solidFill>
      </w14:textFill>
    </w:rPr>
  </w:style>
  <w:style w:type="character" w:styleId="35">
    <w:name w:val="HTML Code"/>
    <w:basedOn w:val="31"/>
    <w:autoRedefine/>
    <w:semiHidden/>
    <w:unhideWhenUsed/>
    <w:qFormat/>
    <w:uiPriority w:val="99"/>
    <w:rPr>
      <w:rFonts w:ascii="Courier New" w:hAnsi="Courier New"/>
      <w:sz w:val="20"/>
    </w:rPr>
  </w:style>
  <w:style w:type="character" w:styleId="36">
    <w:name w:val="annotation reference"/>
    <w:basedOn w:val="31"/>
    <w:autoRedefine/>
    <w:semiHidden/>
    <w:unhideWhenUsed/>
    <w:qFormat/>
    <w:uiPriority w:val="99"/>
    <w:rPr>
      <w:sz w:val="21"/>
      <w:szCs w:val="21"/>
    </w:rPr>
  </w:style>
  <w:style w:type="paragraph" w:customStyle="1" w:styleId="37">
    <w:name w:val="style4"/>
    <w:basedOn w:val="1"/>
    <w:next w:val="38"/>
    <w:autoRedefine/>
    <w:qFormat/>
    <w:uiPriority w:val="0"/>
    <w:pPr>
      <w:widowControl/>
      <w:spacing w:before="280" w:after="280"/>
    </w:pPr>
    <w:rPr>
      <w:rFonts w:ascii="宋体"/>
      <w:sz w:val="18"/>
    </w:rPr>
  </w:style>
  <w:style w:type="paragraph" w:customStyle="1" w:styleId="3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1"/>
    <w:link w:val="2"/>
    <w:autoRedefine/>
    <w:qFormat/>
    <w:uiPriority w:val="9"/>
    <w:rPr>
      <w:b/>
      <w:bCs/>
      <w:kern w:val="44"/>
      <w:sz w:val="44"/>
      <w:szCs w:val="44"/>
    </w:rPr>
  </w:style>
  <w:style w:type="character" w:customStyle="1" w:styleId="45">
    <w:name w:val="标题 2 Char"/>
    <w:basedOn w:val="31"/>
    <w:link w:val="3"/>
    <w:autoRedefine/>
    <w:qFormat/>
    <w:uiPriority w:val="0"/>
    <w:rPr>
      <w:rFonts w:ascii="Arial" w:hAnsi="Arial" w:eastAsia="黑体" w:cs="Times New Roman"/>
      <w:b/>
      <w:sz w:val="32"/>
      <w:szCs w:val="20"/>
    </w:rPr>
  </w:style>
  <w:style w:type="character" w:customStyle="1" w:styleId="46">
    <w:name w:val="标题 3 Char"/>
    <w:basedOn w:val="31"/>
    <w:link w:val="4"/>
    <w:autoRedefine/>
    <w:qFormat/>
    <w:uiPriority w:val="9"/>
    <w:rPr>
      <w:b/>
      <w:bCs/>
      <w:sz w:val="32"/>
      <w:szCs w:val="32"/>
    </w:rPr>
  </w:style>
  <w:style w:type="character" w:customStyle="1" w:styleId="47">
    <w:name w:val="标题 4 Char"/>
    <w:basedOn w:val="31"/>
    <w:link w:val="6"/>
    <w:autoRedefine/>
    <w:qFormat/>
    <w:uiPriority w:val="9"/>
    <w:rPr>
      <w:rFonts w:asciiTheme="majorHAnsi" w:hAnsiTheme="majorHAnsi" w:eastAsiaTheme="majorEastAsia" w:cstheme="majorBidi"/>
      <w:b/>
      <w:bCs/>
      <w:sz w:val="28"/>
      <w:szCs w:val="28"/>
    </w:rPr>
  </w:style>
  <w:style w:type="paragraph" w:customStyle="1" w:styleId="48">
    <w:name w:val="样式1"/>
    <w:basedOn w:val="19"/>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1"/>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1"/>
    <w:link w:val="10"/>
    <w:autoRedefine/>
    <w:semiHidden/>
    <w:qFormat/>
    <w:uiPriority w:val="99"/>
    <w:rPr>
      <w:sz w:val="16"/>
      <w:szCs w:val="16"/>
    </w:rPr>
  </w:style>
  <w:style w:type="character" w:customStyle="1" w:styleId="53">
    <w:name w:val="正文文本 Char"/>
    <w:basedOn w:val="31"/>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1"/>
    <w:link w:val="12"/>
    <w:autoRedefine/>
    <w:semiHidden/>
    <w:qFormat/>
    <w:uiPriority w:val="99"/>
  </w:style>
  <w:style w:type="character" w:customStyle="1" w:styleId="55">
    <w:name w:val="纯文本 Char"/>
    <w:link w:val="15"/>
    <w:autoRedefine/>
    <w:qFormat/>
    <w:uiPriority w:val="0"/>
    <w:rPr>
      <w:rFonts w:ascii="宋体" w:hAnsi="Courier New"/>
    </w:rPr>
  </w:style>
  <w:style w:type="character" w:customStyle="1" w:styleId="56">
    <w:name w:val="日期 Char"/>
    <w:basedOn w:val="31"/>
    <w:link w:val="16"/>
    <w:autoRedefine/>
    <w:semiHidden/>
    <w:qFormat/>
    <w:uiPriority w:val="99"/>
    <w:rPr>
      <w:kern w:val="2"/>
      <w:sz w:val="21"/>
      <w:szCs w:val="22"/>
    </w:rPr>
  </w:style>
  <w:style w:type="character" w:customStyle="1" w:styleId="57">
    <w:name w:val="页脚 Char"/>
    <w:basedOn w:val="31"/>
    <w:link w:val="18"/>
    <w:autoRedefine/>
    <w:qFormat/>
    <w:uiPriority w:val="99"/>
    <w:rPr>
      <w:sz w:val="18"/>
      <w:szCs w:val="18"/>
    </w:rPr>
  </w:style>
  <w:style w:type="character" w:customStyle="1" w:styleId="58">
    <w:name w:val="页眉 Char"/>
    <w:basedOn w:val="31"/>
    <w:link w:val="19"/>
    <w:autoRedefine/>
    <w:qFormat/>
    <w:uiPriority w:val="99"/>
    <w:rPr>
      <w:sz w:val="18"/>
      <w:szCs w:val="18"/>
    </w:rPr>
  </w:style>
  <w:style w:type="character" w:customStyle="1" w:styleId="59">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7"/>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1"/>
    <w:autoRedefine/>
    <w:semiHidden/>
    <w:qFormat/>
    <w:uiPriority w:val="99"/>
  </w:style>
  <w:style w:type="character" w:customStyle="1" w:styleId="64">
    <w:name w:val="纯文本 Char1"/>
    <w:basedOn w:val="31"/>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1"/>
    <w:autoRedefine/>
    <w:qFormat/>
    <w:uiPriority w:val="0"/>
  </w:style>
  <w:style w:type="character" w:customStyle="1" w:styleId="144">
    <w:name w:val="hover17"/>
    <w:basedOn w:val="31"/>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1"/>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1"/>
    <w:autoRedefine/>
    <w:qFormat/>
    <w:uiPriority w:val="0"/>
    <w:rPr>
      <w:shd w:val="clear" w:fill="2D4F80"/>
    </w:rPr>
  </w:style>
  <w:style w:type="character" w:customStyle="1" w:styleId="159">
    <w:name w:val="first-child"/>
    <w:basedOn w:val="31"/>
    <w:autoRedefine/>
    <w:qFormat/>
    <w:uiPriority w:val="0"/>
    <w:rPr>
      <w:rFonts w:ascii="Arial" w:hAnsi="Arial" w:cs="Arial"/>
      <w:sz w:val="57"/>
      <w:szCs w:val="57"/>
    </w:rPr>
  </w:style>
  <w:style w:type="character" w:customStyle="1" w:styleId="160">
    <w:name w:val="first-child1"/>
    <w:basedOn w:val="31"/>
    <w:autoRedefine/>
    <w:qFormat/>
    <w:uiPriority w:val="0"/>
    <w:rPr>
      <w:color w:val="999999"/>
    </w:rPr>
  </w:style>
  <w:style w:type="character" w:customStyle="1" w:styleId="161">
    <w:name w:val="first-child2"/>
    <w:basedOn w:val="31"/>
    <w:autoRedefine/>
    <w:qFormat/>
    <w:uiPriority w:val="0"/>
    <w:rPr>
      <w:sz w:val="24"/>
      <w:szCs w:val="24"/>
    </w:rPr>
  </w:style>
  <w:style w:type="character" w:customStyle="1" w:styleId="162">
    <w:name w:val="first-child3"/>
    <w:basedOn w:val="31"/>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4841</Words>
  <Characters>5043</Characters>
  <Lines>315</Lines>
  <Paragraphs>88</Paragraphs>
  <TotalTime>0</TotalTime>
  <ScaleCrop>false</ScaleCrop>
  <LinksUpToDate>false</LinksUpToDate>
  <CharactersWithSpaces>5612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2025-08-08T07:14:04Z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917EDDDDF6CD4020B803978D639DA0EB_13</vt:lpwstr>
  </property>
  <property fmtid="{D5CDD505-2E9C-101B-9397-08002B2CF9AE}" pid="4" name="KSOTemplateDocerSaveRecord">
    <vt:lpwstr>eyJoZGlkIjoiMTUyMDA2ZjQ4N2YyNDAzZWJjY2U2NWNkZDY5ZDY4ZDAiLCJ1c2VySWQiOiI2OTIxMTkxNTcifQ==</vt:lpwstr>
  </property>
</Properties>
</file>