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highlight w:val="cyan"/>
          <w:lang w:eastAsia="zh-CN"/>
        </w:rPr>
        <w:t>手术床</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082</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8</w:t>
      </w:r>
      <w:r>
        <w:rPr>
          <w:rFonts w:hint="eastAsia" w:ascii="宋体" w:hAnsi="宋体" w:cs="宋体"/>
          <w:b/>
          <w:sz w:val="30"/>
          <w:szCs w:val="30"/>
          <w:highlight w:val="cyan"/>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手术床</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67A59AD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1F5175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河南省胸科医院手术床采购项目</w:t>
      </w:r>
      <w:r>
        <w:rPr>
          <w:rFonts w:hint="default" w:asciiTheme="minorEastAsia" w:hAnsiTheme="minorEastAsia" w:eastAsiaTheme="minorEastAsia" w:cstheme="minorEastAsia"/>
          <w:color w:val="333333"/>
          <w:sz w:val="24"/>
          <w:szCs w:val="24"/>
        </w:rPr>
        <w:t>。</w:t>
      </w:r>
    </w:p>
    <w:p w14:paraId="7339A3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AF2D2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lightGray"/>
        </w:rPr>
      </w:pPr>
      <w:r>
        <w:rPr>
          <w:rFonts w:hint="eastAsia" w:asciiTheme="minorEastAsia" w:hAnsiTheme="minorEastAsia" w:eastAsiaTheme="minorEastAsia" w:cstheme="minorEastAsia"/>
          <w:color w:val="333333"/>
          <w:sz w:val="24"/>
          <w:szCs w:val="24"/>
          <w:highlight w:val="lightGray"/>
          <w:lang w:eastAsia="zh-CN"/>
        </w:rPr>
        <w:t>手术床</w:t>
      </w:r>
      <w:r>
        <w:rPr>
          <w:rFonts w:hint="default" w:asciiTheme="minorEastAsia" w:hAnsiTheme="minorEastAsia" w:eastAsiaTheme="minorEastAsia" w:cstheme="minorEastAsia"/>
          <w:color w:val="333333"/>
          <w:sz w:val="24"/>
          <w:szCs w:val="24"/>
          <w:highlight w:val="lightGray"/>
        </w:rPr>
        <w:t>1台。</w:t>
      </w:r>
    </w:p>
    <w:p w14:paraId="412A305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4D0326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default" w:asciiTheme="minorEastAsia" w:hAnsiTheme="minorEastAsia" w:eastAsiaTheme="minorEastAsia" w:cstheme="minorEastAsia"/>
          <w:color w:val="333333"/>
          <w:sz w:val="24"/>
          <w:szCs w:val="24"/>
          <w:highlight w:val="lightGray"/>
        </w:rPr>
        <w:t>15万元。</w:t>
      </w:r>
    </w:p>
    <w:p w14:paraId="4E87873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4C27189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7AF366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02BCC8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3C3134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178BDD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5A902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7FFE4F5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757338B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5A7A75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EABF9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33C997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477E3B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4A4AF7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38F8E9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4289B15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default" w:asciiTheme="minorEastAsia" w:hAnsiTheme="minorEastAsia" w:eastAsiaTheme="minorEastAsia" w:cstheme="minorEastAsia"/>
          <w:color w:val="333333"/>
          <w:sz w:val="24"/>
          <w:szCs w:val="24"/>
          <w:highlight w:val="lightGray"/>
        </w:rPr>
        <w:t>：</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8</w:t>
      </w:r>
      <w:r>
        <w:rPr>
          <w:rFonts w:hint="default" w:asciiTheme="minorEastAsia" w:hAnsiTheme="minorEastAsia" w:eastAsiaTheme="minorEastAsia" w:cstheme="minorEastAsia"/>
          <w:color w:val="333333"/>
          <w:sz w:val="24"/>
          <w:szCs w:val="24"/>
          <w:highlight w:val="lightGray"/>
        </w:rPr>
        <w:t>月</w:t>
      </w:r>
      <w:r>
        <w:rPr>
          <w:rFonts w:hint="eastAsia" w:asciiTheme="minorEastAsia" w:hAnsiTheme="minorEastAsia" w:eastAsiaTheme="minorEastAsia" w:cstheme="minorEastAsia"/>
          <w:color w:val="333333"/>
          <w:sz w:val="24"/>
          <w:szCs w:val="24"/>
          <w:highlight w:val="lightGray"/>
          <w:lang w:val="en-US" w:eastAsia="zh-CN"/>
        </w:rPr>
        <w:t>12</w:t>
      </w:r>
      <w:r>
        <w:rPr>
          <w:rFonts w:hint="default" w:asciiTheme="minorEastAsia" w:hAnsiTheme="minorEastAsia" w:eastAsiaTheme="minorEastAsia" w:cstheme="minorEastAsia"/>
          <w:color w:val="333333"/>
          <w:sz w:val="24"/>
          <w:szCs w:val="24"/>
          <w:highlight w:val="lightGray"/>
        </w:rPr>
        <w:t>日至</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8</w:t>
      </w:r>
      <w:r>
        <w:rPr>
          <w:rFonts w:hint="default" w:asciiTheme="minorEastAsia" w:hAnsiTheme="minorEastAsia" w:eastAsiaTheme="minorEastAsia" w:cstheme="minorEastAsia"/>
          <w:color w:val="333333"/>
          <w:sz w:val="24"/>
          <w:szCs w:val="24"/>
          <w:highlight w:val="lightGray"/>
        </w:rPr>
        <w:t>月1</w:t>
      </w:r>
      <w:r>
        <w:rPr>
          <w:rFonts w:hint="eastAsia" w:asciiTheme="minorEastAsia" w:hAnsiTheme="minorEastAsia" w:eastAsiaTheme="minorEastAsia" w:cstheme="minorEastAsia"/>
          <w:color w:val="333333"/>
          <w:sz w:val="24"/>
          <w:szCs w:val="24"/>
          <w:highlight w:val="lightGray"/>
          <w:lang w:val="en-US" w:eastAsia="zh-CN"/>
        </w:rPr>
        <w:t>4</w:t>
      </w:r>
      <w:r>
        <w:rPr>
          <w:rFonts w:hint="default" w:asciiTheme="minorEastAsia" w:hAnsiTheme="minorEastAsia" w:eastAsiaTheme="minorEastAsia" w:cstheme="minorEastAsia"/>
          <w:color w:val="333333"/>
          <w:sz w:val="24"/>
          <w:szCs w:val="24"/>
          <w:highlight w:val="lightGray"/>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w:t>
      </w:r>
      <w:r>
        <w:rPr>
          <w:rFonts w:hint="default" w:asciiTheme="minorEastAsia" w:hAnsiTheme="minorEastAsia" w:eastAsiaTheme="minorEastAsia" w:cstheme="minorEastAsia"/>
          <w:color w:val="333333"/>
          <w:sz w:val="24"/>
          <w:szCs w:val="24"/>
          <w:highlight w:val="none"/>
        </w:rPr>
        <w:t>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3CBACEA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97F227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EBF92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3E85743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3B1349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BD7FE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BED4FE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266953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75D9E00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4A283EB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4B50F4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01EF280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5DA5A4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60FC1F9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7A87FC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3A78AC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3F595B18">
      <w:pPr>
        <w:numPr>
          <w:ilvl w:val="0"/>
          <w:numId w:val="0"/>
        </w:numPr>
        <w:spacing w:line="360" w:lineRule="auto"/>
        <w:rPr>
          <w:rFonts w:hint="eastAsia" w:ascii="宋体" w:hAnsi="宋体" w:cs="宋体"/>
          <w:b/>
          <w:bCs/>
          <w:color w:val="auto"/>
          <w:sz w:val="24"/>
          <w:szCs w:val="24"/>
          <w:lang w:eastAsia="zh-CN"/>
        </w:rPr>
      </w:pPr>
    </w:p>
    <w:p w14:paraId="7291795B">
      <w:pPr>
        <w:numPr>
          <w:ilvl w:val="0"/>
          <w:numId w:val="2"/>
        </w:numPr>
        <w:spacing w:line="360" w:lineRule="auto"/>
        <w:rPr>
          <w:rFonts w:hint="eastAsia"/>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44F712F3">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 xml:space="preserve">1.数量：1台 </w:t>
      </w:r>
    </w:p>
    <w:p w14:paraId="063F986A">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2.可满足普外、妇科、泌尿外科、骨科等手术需求。</w:t>
      </w:r>
    </w:p>
    <w:p w14:paraId="03F067C5">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3.具备平移功能。</w:t>
      </w:r>
    </w:p>
    <w:p w14:paraId="57E19FF0">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4.动力系统：采用电动液压方式，通过电动调节操控实现台面升降、前后倾、左右倾、背板上下折等功能。</w:t>
      </w:r>
    </w:p>
    <w:p w14:paraId="253CBDD9">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5.控制系统：具备手持控制器和床旁控制两种独立控制系统，两套操作系统功能一致，确保一套控制系统发生故障时，另一套仍能可靠运行。</w:t>
      </w:r>
    </w:p>
    <w:p w14:paraId="690C6DC3">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6.漏电保护：采用防漏电三脚插头。</w:t>
      </w:r>
    </w:p>
    <w:p w14:paraId="2CC5BA36">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7.台面结构：手术床台面采用模块化结构，由头板、背板、腿板等组成，头板及腿板可拆卸。</w:t>
      </w:r>
    </w:p>
    <w:p w14:paraId="7C515C12">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8.床面材质：碳纤维床面，方便在手术过程中进行术中透视等检查。</w:t>
      </w:r>
    </w:p>
    <w:p w14:paraId="68986E0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9. 床垫材质：手术床床垫为记忆海绵整体床垫。</w:t>
      </w:r>
    </w:p>
    <w:p w14:paraId="4DB94B9D">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10. 使用期限：手术床使用期限≥10 年。</w:t>
      </w:r>
    </w:p>
    <w:p w14:paraId="6D3461F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11. 电池性能：配备高性能充电电池，确保手术床在无交流电源供电状态下工作。</w:t>
      </w:r>
    </w:p>
    <w:p w14:paraId="296600A5">
      <w:pPr>
        <w:spacing w:line="360" w:lineRule="auto"/>
        <w:ind w:firstLine="240" w:firstLineChars="100"/>
        <w:rPr>
          <w:rFonts w:hint="eastAsia" w:ascii="宋体" w:hAnsi="宋体" w:cs="宋体"/>
          <w:sz w:val="24"/>
          <w:lang w:val="en-US" w:eastAsia="zh-CN"/>
        </w:rPr>
      </w:pPr>
    </w:p>
    <w:p w14:paraId="475C07CC">
      <w:pPr>
        <w:spacing w:line="360" w:lineRule="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14:paraId="5C56DBC1">
      <w:pPr>
        <w:spacing w:line="360" w:lineRule="auto"/>
        <w:rPr>
          <w:rFonts w:ascii="宋体" w:hAnsi="宋体" w:cs="宋体"/>
          <w:sz w:val="24"/>
        </w:rPr>
      </w:pPr>
      <w:r>
        <w:rPr>
          <w:rFonts w:hint="eastAsia" w:ascii="宋体" w:hAnsi="宋体" w:cs="宋体"/>
          <w:sz w:val="24"/>
        </w:rPr>
        <w:t>1.特定资格</w:t>
      </w:r>
    </w:p>
    <w:p w14:paraId="0127D5B4">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7D6B4862">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025BC95E">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3B6268B0">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4E629791">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sz w:val="24"/>
        </w:rPr>
        <w:t>（供应商需明确具体年数）</w:t>
      </w:r>
    </w:p>
    <w:p w14:paraId="6FE9DB28">
      <w:pPr>
        <w:spacing w:line="360" w:lineRule="auto"/>
        <w:rPr>
          <w:rFonts w:ascii="宋体" w:hAnsi="宋体" w:cs="宋体"/>
          <w:sz w:val="24"/>
        </w:rPr>
      </w:pPr>
      <w:r>
        <w:rPr>
          <w:rFonts w:hint="eastAsia" w:ascii="宋体" w:hAnsi="宋体" w:cs="宋体"/>
          <w:sz w:val="24"/>
        </w:rPr>
        <w:t>5.履约保证金：无</w:t>
      </w:r>
    </w:p>
    <w:p w14:paraId="45EEAF6D">
      <w:pPr>
        <w:spacing w:line="360" w:lineRule="auto"/>
        <w:rPr>
          <w:rFonts w:ascii="宋体" w:hAnsi="宋体" w:cs="宋体"/>
          <w:sz w:val="24"/>
        </w:rPr>
      </w:pPr>
      <w:r>
        <w:rPr>
          <w:rFonts w:hint="eastAsia" w:ascii="宋体" w:hAnsi="宋体" w:cs="宋体"/>
          <w:sz w:val="24"/>
        </w:rPr>
        <w:t>6.付款方式：</w:t>
      </w:r>
    </w:p>
    <w:p w14:paraId="223E3D25">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26A7E711">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72633F64">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11890"/>
      <w:bookmarkStart w:id="13" w:name="_Toc26111"/>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24403"/>
      <w:bookmarkStart w:id="17" w:name="_Toc56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2668"/>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bookmarkStart w:id="67" w:name="_GoBack"/>
      <w:bookmarkEnd w:id="67"/>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39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708"/>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91"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08"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691"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08"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691" w:type="dxa"/>
            <w:vMerge w:val="continue"/>
            <w:vAlign w:val="center"/>
          </w:tcPr>
          <w:p w14:paraId="30504C65">
            <w:pPr>
              <w:tabs>
                <w:tab w:val="left" w:pos="926"/>
                <w:tab w:val="left" w:pos="4335"/>
                <w:tab w:val="left" w:pos="4515"/>
                <w:tab w:val="left" w:pos="7227"/>
              </w:tabs>
              <w:ind w:firstLine="210" w:firstLineChars="100"/>
              <w:jc w:val="left"/>
            </w:pPr>
          </w:p>
        </w:tc>
        <w:tc>
          <w:tcPr>
            <w:tcW w:w="6708"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91"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08"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91"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08"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91"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08"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91"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none"/>
                <w:lang w:val="en-US" w:eastAsia="zh-CN"/>
              </w:rPr>
              <w:t>产地</w:t>
            </w:r>
          </w:p>
        </w:tc>
        <w:tc>
          <w:tcPr>
            <w:tcW w:w="6708"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91"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08"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ascii="宋体" w:hAnsi="宋体" w:cs="宋体"/>
                <w:sz w:val="24"/>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1"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08"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7AE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91" w:type="dxa"/>
            <w:vAlign w:val="center"/>
          </w:tcPr>
          <w:p w14:paraId="0DD7752F">
            <w:pPr>
              <w:tabs>
                <w:tab w:val="left" w:pos="926"/>
                <w:tab w:val="left" w:pos="4335"/>
                <w:tab w:val="left" w:pos="4515"/>
                <w:tab w:val="left" w:pos="7227"/>
              </w:tabs>
              <w:ind w:left="-78" w:leftChars="0"/>
              <w:jc w:val="center"/>
              <w:rPr>
                <w:rFonts w:hint="eastAsia"/>
                <w:sz w:val="24"/>
                <w:szCs w:val="24"/>
              </w:rPr>
            </w:pPr>
            <w:r>
              <w:rPr>
                <w:rFonts w:hint="eastAsia"/>
                <w:sz w:val="24"/>
                <w:szCs w:val="24"/>
                <w:highlight w:val="none"/>
                <w:lang w:eastAsia="zh-CN"/>
              </w:rPr>
              <w:t>质量标准</w:t>
            </w:r>
          </w:p>
        </w:tc>
        <w:tc>
          <w:tcPr>
            <w:tcW w:w="6708" w:type="dxa"/>
            <w:vAlign w:val="center"/>
          </w:tcPr>
          <w:p w14:paraId="0A2B7AAC">
            <w:pPr>
              <w:tabs>
                <w:tab w:val="left" w:pos="926"/>
                <w:tab w:val="left" w:pos="4335"/>
                <w:tab w:val="left" w:pos="4515"/>
                <w:tab w:val="left" w:pos="7227"/>
              </w:tabs>
              <w:spacing w:line="360" w:lineRule="auto"/>
              <w:jc w:val="center"/>
              <w:rPr>
                <w:rFonts w:hint="eastAsia"/>
                <w:sz w:val="24"/>
                <w:u w:val="single"/>
              </w:rPr>
            </w:pPr>
            <w:r>
              <w:rPr>
                <w:rFonts w:hint="eastAsia"/>
                <w:sz w:val="24"/>
                <w:szCs w:val="24"/>
                <w:highlight w:val="none"/>
                <w:lang w:eastAsia="zh-CN"/>
              </w:rPr>
              <w:t>符合国家合格标准</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91"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08" w:type="dxa"/>
          </w:tcPr>
          <w:p w14:paraId="4CC0BD8F">
            <w:pPr>
              <w:tabs>
                <w:tab w:val="left" w:pos="926"/>
                <w:tab w:val="left" w:pos="4335"/>
                <w:tab w:val="left" w:pos="4515"/>
                <w:tab w:val="left" w:pos="7227"/>
              </w:tabs>
              <w:spacing w:line="360" w:lineRule="auto"/>
              <w:jc w:val="left"/>
            </w:pPr>
          </w:p>
          <w:p w14:paraId="2155AEF4">
            <w:pPr>
              <w:pStyle w:val="2"/>
            </w:pPr>
          </w:p>
        </w:tc>
      </w:tr>
    </w:tbl>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49642274"/>
      <w:bookmarkStart w:id="38" w:name="_Toc320878673"/>
      <w:bookmarkStart w:id="39" w:name="_Toc337475887"/>
      <w:bookmarkStart w:id="40" w:name="_Toc304219290"/>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29526"/>
      <w:bookmarkStart w:id="52" w:name="_Toc28583"/>
      <w:bookmarkStart w:id="53" w:name="_Toc304219331"/>
      <w:bookmarkStart w:id="54" w:name="_Toc320878714"/>
      <w:bookmarkStart w:id="55" w:name="_Toc30765"/>
      <w:bookmarkStart w:id="56" w:name="_Toc4599"/>
      <w:bookmarkStart w:id="57" w:name="_Toc15867"/>
      <w:bookmarkStart w:id="58" w:name="_Toc349642319"/>
      <w:bookmarkStart w:id="59" w:name="_Toc337475928"/>
      <w:bookmarkStart w:id="60" w:name="_Toc12801"/>
      <w:bookmarkStart w:id="61" w:name="_Toc337554798"/>
      <w:bookmarkStart w:id="62" w:name="_Toc10750"/>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2715CB"/>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C255A7"/>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AE1F76"/>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2F9616C"/>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4912</Words>
  <Characters>5084</Characters>
  <Lines>315</Lines>
  <Paragraphs>88</Paragraphs>
  <TotalTime>2</TotalTime>
  <ScaleCrop>false</ScaleCrop>
  <LinksUpToDate>false</LinksUpToDate>
  <CharactersWithSpaces>5869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2025-08-11T02:58:23Z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488B7CFF72A440E399D5DBAEE912648F_13</vt:lpwstr>
  </property>
  <property fmtid="{D5CDD505-2E9C-101B-9397-08002B2CF9AE}" pid="4" name="KSOTemplateDocerSaveRecord">
    <vt:lpwstr>eyJoZGlkIjoiNDdiYzIwYzJkY2VlZTA0OGY0ZGI2YmQyZmFjZDk5NjQiLCJ1c2VySWQiOiIzNDU5NTk2NDkifQ==</vt:lpwstr>
  </property>
</Properties>
</file>