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225D3CE7">
      <w:pPr>
        <w:jc w:val="center"/>
        <w:rPr>
          <w:rFonts w:hint="eastAsia" w:ascii="宋体" w:hAnsi="宋体" w:cs="宋体"/>
          <w:b/>
          <w:sz w:val="40"/>
          <w:szCs w:val="40"/>
          <w:highlight w:val="cyan"/>
          <w:lang w:eastAsia="zh-CN"/>
        </w:rPr>
      </w:pPr>
      <w:r>
        <w:rPr>
          <w:rFonts w:hint="eastAsia" w:ascii="宋体" w:hAnsi="宋体" w:cs="宋体"/>
          <w:b/>
          <w:sz w:val="40"/>
          <w:szCs w:val="40"/>
        </w:rPr>
        <w:t>河南省胸科医院</w:t>
      </w:r>
      <w:r>
        <w:rPr>
          <w:rFonts w:hint="eastAsia" w:ascii="宋体" w:hAnsi="宋体" w:cs="宋体"/>
          <w:b/>
          <w:sz w:val="40"/>
          <w:szCs w:val="40"/>
          <w:lang w:eastAsia="zh-CN"/>
        </w:rPr>
        <w:t>二氧化碳培养箱</w:t>
      </w:r>
    </w:p>
    <w:p w14:paraId="4198787D">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6"/>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lang w:val="en-US" w:eastAsia="zh-CN"/>
        </w:rPr>
        <w:t>5</w:t>
      </w:r>
      <w:r>
        <w:rPr>
          <w:rFonts w:hint="eastAsia" w:ascii="宋体" w:hAnsi="宋体" w:cs="宋体"/>
          <w:b/>
          <w:sz w:val="32"/>
        </w:rPr>
        <w:t>-</w:t>
      </w:r>
      <w:r>
        <w:rPr>
          <w:rFonts w:hint="eastAsia" w:ascii="宋体" w:hAnsi="宋体" w:cs="宋体"/>
          <w:b/>
          <w:sz w:val="32"/>
          <w:highlight w:val="cyan"/>
          <w:lang w:val="en-US" w:eastAsia="zh-CN"/>
        </w:rPr>
        <w:t>090</w:t>
      </w:r>
    </w:p>
    <w:p w14:paraId="146A9B8D">
      <w:pPr>
        <w:widowControl/>
        <w:spacing w:line="360" w:lineRule="auto"/>
        <w:outlineLvl w:val="0"/>
        <w:rPr>
          <w:b/>
          <w:sz w:val="52"/>
          <w:szCs w:val="52"/>
        </w:rPr>
      </w:pPr>
    </w:p>
    <w:p w14:paraId="2F3A82E6">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1EE5635E">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w:t>
      </w:r>
      <w:r>
        <w:rPr>
          <w:rFonts w:hint="eastAsia" w:ascii="宋体" w:hAnsi="宋体" w:cs="宋体"/>
          <w:b/>
          <w:sz w:val="30"/>
          <w:szCs w:val="30"/>
          <w:lang w:val="en-US" w:eastAsia="zh-CN"/>
        </w:rPr>
        <w:t>5</w:t>
      </w:r>
      <w:r>
        <w:rPr>
          <w:rFonts w:hint="eastAsia" w:ascii="宋体" w:hAnsi="宋体" w:cs="宋体"/>
          <w:b/>
          <w:sz w:val="30"/>
          <w:szCs w:val="30"/>
        </w:rPr>
        <w:t>年</w:t>
      </w:r>
      <w:r>
        <w:rPr>
          <w:rFonts w:hint="eastAsia" w:ascii="宋体" w:hAnsi="宋体" w:cs="宋体"/>
          <w:b/>
          <w:sz w:val="32"/>
          <w:highlight w:val="cyan"/>
          <w:lang w:val="en-US" w:eastAsia="zh-CN"/>
        </w:rPr>
        <w:t>9</w:t>
      </w:r>
      <w:r>
        <w:rPr>
          <w:rFonts w:hint="eastAsia" w:ascii="宋体" w:hAnsi="宋体" w:cs="宋体"/>
          <w:b/>
          <w:sz w:val="30"/>
          <w:szCs w:val="30"/>
          <w:highlight w:val="cyan"/>
        </w:rPr>
        <w:t>月</w:t>
      </w:r>
    </w:p>
    <w:p w14:paraId="397ABADD">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341EF8A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rPr>
        <w:t xml:space="preserve"> </w:t>
      </w:r>
      <w:r>
        <w:rPr>
          <w:rFonts w:hint="eastAsia" w:ascii="宋体" w:hAnsi="宋体"/>
          <w:b/>
          <w:sz w:val="28"/>
          <w:szCs w:val="28"/>
          <w:highlight w:val="cyan"/>
        </w:rPr>
        <w:t>河南省胸科医院</w:t>
      </w:r>
      <w:r>
        <w:rPr>
          <w:rFonts w:hint="eastAsia" w:ascii="宋体" w:hAnsi="宋体"/>
          <w:b/>
          <w:sz w:val="28"/>
          <w:szCs w:val="28"/>
          <w:highlight w:val="cyan"/>
          <w:lang w:eastAsia="zh-CN"/>
        </w:rPr>
        <w:t>二氧化碳培养箱</w:t>
      </w:r>
      <w:r>
        <w:rPr>
          <w:rFonts w:hint="eastAsia" w:ascii="宋体" w:hAnsi="宋体"/>
          <w:b/>
          <w:sz w:val="28"/>
          <w:szCs w:val="28"/>
          <w:highlight w:val="cyan"/>
        </w:rPr>
        <w:t>采购项目</w:t>
      </w:r>
    </w:p>
    <w:p w14:paraId="15ECB24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30C69788">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14:paraId="6373FEB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86057B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河南省胸科医院二氧化碳培养箱采购项目</w:t>
      </w:r>
      <w:r>
        <w:rPr>
          <w:rFonts w:hint="default" w:asciiTheme="minorEastAsia" w:hAnsiTheme="minorEastAsia" w:eastAsiaTheme="minorEastAsia" w:cstheme="minorEastAsia"/>
          <w:color w:val="333333"/>
          <w:sz w:val="24"/>
          <w:szCs w:val="24"/>
        </w:rPr>
        <w:t>。</w:t>
      </w:r>
    </w:p>
    <w:p w14:paraId="79738AD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B1683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二氧化碳培养箱</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0F8D993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A418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rPr>
        <w:t>万元。</w:t>
      </w:r>
    </w:p>
    <w:p w14:paraId="6C16699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21236AF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0A5133C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4DE0433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60ABA17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2776F0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A20224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32A24DF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75CE5F8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0DEBFD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3346DFF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612B543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15ADCAB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90FF78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126662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69DAFB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9</w:t>
      </w:r>
      <w:r>
        <w:rPr>
          <w:rFonts w:hint="default" w:asciiTheme="minorEastAsia" w:hAnsiTheme="minorEastAsia" w:eastAsiaTheme="minorEastAsia" w:cstheme="minorEastAsia"/>
          <w:color w:val="333333"/>
          <w:sz w:val="24"/>
          <w:szCs w:val="24"/>
          <w:highlight w:val="green"/>
        </w:rPr>
        <w:t>月</w:t>
      </w:r>
      <w:r>
        <w:rPr>
          <w:rFonts w:hint="eastAsia" w:asciiTheme="minorEastAsia" w:hAnsiTheme="minorEastAsia" w:eastAsiaTheme="minorEastAsia" w:cstheme="minorEastAsia"/>
          <w:color w:val="333333"/>
          <w:sz w:val="24"/>
          <w:szCs w:val="24"/>
          <w:highlight w:val="green"/>
          <w:lang w:val="en-US" w:eastAsia="zh-CN"/>
        </w:rPr>
        <w:t>28</w:t>
      </w:r>
      <w:r>
        <w:rPr>
          <w:rFonts w:hint="default" w:asciiTheme="minorEastAsia" w:hAnsiTheme="minorEastAsia" w:eastAsiaTheme="minorEastAsia" w:cstheme="minorEastAsia"/>
          <w:color w:val="333333"/>
          <w:sz w:val="24"/>
          <w:szCs w:val="24"/>
          <w:highlight w:val="green"/>
        </w:rPr>
        <w:t>日至</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9</w:t>
      </w:r>
      <w:r>
        <w:rPr>
          <w:rFonts w:hint="default" w:asciiTheme="minorEastAsia" w:hAnsiTheme="minorEastAsia" w:eastAsiaTheme="minorEastAsia" w:cstheme="minorEastAsia"/>
          <w:color w:val="333333"/>
          <w:sz w:val="24"/>
          <w:szCs w:val="24"/>
          <w:highlight w:val="green"/>
        </w:rPr>
        <w:t>月</w:t>
      </w:r>
      <w:r>
        <w:rPr>
          <w:rFonts w:hint="eastAsia" w:asciiTheme="minorEastAsia" w:hAnsiTheme="minorEastAsia" w:eastAsiaTheme="minorEastAsia" w:cstheme="minorEastAsia"/>
          <w:color w:val="333333"/>
          <w:sz w:val="24"/>
          <w:szCs w:val="24"/>
          <w:highlight w:val="green"/>
          <w:lang w:val="en-US" w:eastAsia="zh-CN"/>
        </w:rPr>
        <w:t>30</w:t>
      </w:r>
      <w:r>
        <w:rPr>
          <w:rFonts w:hint="default" w:asciiTheme="minorEastAsia" w:hAnsiTheme="minorEastAsia" w:eastAsiaTheme="minorEastAsia" w:cstheme="minorEastAsia"/>
          <w:color w:val="333333"/>
          <w:sz w:val="24"/>
          <w:szCs w:val="24"/>
          <w:highlight w:val="green"/>
        </w:rPr>
        <w:t>日</w:t>
      </w:r>
      <w:r>
        <w:rPr>
          <w:rFonts w:hint="default" w:asciiTheme="minorEastAsia" w:hAnsiTheme="minorEastAsia" w:eastAsiaTheme="minorEastAsia" w:cstheme="minorEastAsia"/>
          <w:color w:val="333333"/>
          <w:sz w:val="24"/>
          <w:szCs w:val="24"/>
          <w:highlight w:val="none"/>
        </w:rPr>
        <w:t>，</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8CB24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A13D00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5D30043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1F42329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42DCBC1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8B3677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A2EA06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819AD0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EDD46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3E7E4F9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DDAB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13FE35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049603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F1B251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7872BEC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1507FB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9"/>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25EB9CDE">
      <w:pPr>
        <w:numPr>
          <w:ilvl w:val="0"/>
          <w:numId w:val="0"/>
        </w:numPr>
        <w:spacing w:line="360" w:lineRule="auto"/>
        <w:rPr>
          <w:rFonts w:hint="eastAsia" w:ascii="宋体" w:hAnsi="宋体" w:eastAsia="宋体" w:cs="宋体"/>
          <w:b/>
          <w:bCs/>
          <w:sz w:val="24"/>
          <w:lang w:eastAsia="zh-CN"/>
        </w:rPr>
      </w:pPr>
      <w:r>
        <w:rPr>
          <w:rFonts w:hint="eastAsia" w:ascii="宋体" w:hAnsi="宋体" w:cs="宋体"/>
          <w:b/>
          <w:bCs/>
          <w:sz w:val="24"/>
          <w:lang w:val="en-US" w:eastAsia="zh-CN"/>
        </w:rPr>
        <w:t>一、</w:t>
      </w:r>
      <w:r>
        <w:rPr>
          <w:rFonts w:hint="eastAsia" w:ascii="宋体" w:hAnsi="宋体" w:cs="宋体"/>
          <w:b/>
          <w:bCs/>
          <w:sz w:val="24"/>
        </w:rPr>
        <w:t>技术</w:t>
      </w:r>
      <w:r>
        <w:rPr>
          <w:rFonts w:hint="eastAsia" w:ascii="宋体" w:hAnsi="宋体" w:cs="宋体"/>
          <w:b/>
          <w:bCs/>
          <w:sz w:val="24"/>
          <w:lang w:val="en-US" w:eastAsia="zh-CN"/>
        </w:rPr>
        <w:t>要求</w:t>
      </w:r>
    </w:p>
    <w:p w14:paraId="781CEFAA">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数量：2台。</w:t>
      </w:r>
    </w:p>
    <w:p w14:paraId="7692571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2.二氧化碳控制范围:0%-20%。</w:t>
      </w:r>
    </w:p>
    <w:p w14:paraId="7EC2049E">
      <w:pPr>
        <w:spacing w:line="36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.二氧化碳控制精准度</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lang w:val="en-US" w:eastAsia="zh-CN"/>
        </w:rPr>
        <w:t>0.1。</w:t>
      </w:r>
    </w:p>
    <w:p w14:paraId="4791240F">
      <w:pPr>
        <w:spacing w:line="36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.相对湿度:</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90%。</w:t>
      </w:r>
    </w:p>
    <w:p w14:paraId="566598C9">
      <w:pPr>
        <w:spacing w:line="36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.容量:</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150 升</w:t>
      </w:r>
      <w:r>
        <w:rPr>
          <w:rFonts w:hint="eastAsia" w:ascii="宋体" w:hAnsi="宋体" w:cs="宋体"/>
          <w:b w:val="0"/>
          <w:bCs w:val="0"/>
          <w:sz w:val="24"/>
          <w:szCs w:val="24"/>
          <w:lang w:val="en-US" w:eastAsia="zh-CN"/>
        </w:rPr>
        <w:t>。</w:t>
      </w:r>
    </w:p>
    <w:p w14:paraId="650979A2">
      <w:pPr>
        <w:spacing w:line="36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.温度范围:5-55℃。</w:t>
      </w:r>
    </w:p>
    <w:p w14:paraId="0FAB8BF6">
      <w:pPr>
        <w:spacing w:line="36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 xml:space="preserve">.温度精准度 </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lang w:val="en-US" w:eastAsia="zh-CN"/>
        </w:rPr>
        <w:t>0.2℃。</w:t>
      </w:r>
    </w:p>
    <w:p w14:paraId="09760AFD">
      <w:pPr>
        <w:spacing w:line="36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.可消毒、配置载物托架。</w:t>
      </w:r>
    </w:p>
    <w:p w14:paraId="236B48E5">
      <w:pPr>
        <w:spacing w:line="360" w:lineRule="auto"/>
        <w:rPr>
          <w:rFonts w:ascii="宋体" w:hAnsi="宋体"/>
          <w:b/>
          <w:bCs/>
          <w:sz w:val="24"/>
        </w:rPr>
      </w:pPr>
      <w:r>
        <w:rPr>
          <w:rFonts w:hint="eastAsia" w:ascii="宋体" w:hAnsi="宋体"/>
          <w:b/>
          <w:bCs/>
          <w:sz w:val="24"/>
        </w:rPr>
        <w:t>二、商务要求</w:t>
      </w:r>
    </w:p>
    <w:p w14:paraId="7E8D26D7">
      <w:pPr>
        <w:spacing w:line="360" w:lineRule="auto"/>
        <w:rPr>
          <w:rFonts w:ascii="宋体" w:hAnsi="宋体" w:cs="宋体"/>
          <w:sz w:val="24"/>
        </w:rPr>
      </w:pPr>
      <w:r>
        <w:rPr>
          <w:rFonts w:hint="eastAsia" w:ascii="宋体" w:hAnsi="宋体" w:cs="宋体"/>
          <w:sz w:val="24"/>
        </w:rPr>
        <w:t>1.特定资格</w:t>
      </w:r>
    </w:p>
    <w:p w14:paraId="7AC86F23">
      <w:pPr>
        <w:spacing w:line="360" w:lineRule="auto"/>
        <w:ind w:firstLine="240" w:firstLineChars="100"/>
        <w:rPr>
          <w:rFonts w:ascii="宋体" w:hAnsi="宋体" w:cs="宋体"/>
          <w:sz w:val="24"/>
        </w:rPr>
      </w:pPr>
      <w:r>
        <w:rPr>
          <w:rFonts w:hint="eastAsia" w:ascii="宋体" w:hAnsi="宋体" w:cs="宋体"/>
          <w:sz w:val="24"/>
        </w:rPr>
        <w:t>1.1 供应商需具有医疗器械经营许可证或医疗器械经营备案凭证。</w:t>
      </w:r>
    </w:p>
    <w:p w14:paraId="4F83722E">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5D78E0E1">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r>
        <w:rPr>
          <w:rFonts w:hint="eastAsia" w:ascii="宋体" w:hAnsi="宋体" w:cs="宋体"/>
          <w:sz w:val="24"/>
        </w:rPr>
        <w:t>。</w:t>
      </w:r>
    </w:p>
    <w:p w14:paraId="7585F2E8">
      <w:pPr>
        <w:spacing w:line="360" w:lineRule="auto"/>
        <w:rPr>
          <w:rFonts w:hint="eastAsia" w:ascii="宋体" w:hAnsi="宋体" w:cs="宋体"/>
          <w:b/>
          <w:bCs/>
          <w:color w:val="FF0000"/>
          <w:sz w:val="24"/>
          <w:lang w:val="en-US" w:eastAsia="zh-CN"/>
        </w:rPr>
      </w:pPr>
      <w:r>
        <w:rPr>
          <w:rFonts w:hint="eastAsia" w:ascii="宋体" w:hAnsi="宋体" w:cs="宋体"/>
          <w:sz w:val="24"/>
        </w:rPr>
        <w:t>3.是否接受进口产品：</w:t>
      </w:r>
      <w:r>
        <w:rPr>
          <w:rFonts w:hint="eastAsia" w:ascii="宋体" w:hAnsi="宋体" w:cs="宋体"/>
          <w:b/>
          <w:bCs/>
          <w:color w:val="FF0000"/>
          <w:sz w:val="24"/>
          <w:lang w:val="en-US" w:eastAsia="zh-CN"/>
        </w:rPr>
        <w:t>是</w:t>
      </w:r>
    </w:p>
    <w:p w14:paraId="2BC0A716">
      <w:pPr>
        <w:spacing w:line="360" w:lineRule="auto"/>
        <w:rPr>
          <w:rFonts w:ascii="宋体" w:hAnsi="宋体" w:cs="宋体"/>
          <w:sz w:val="24"/>
        </w:rPr>
      </w:pPr>
      <w:r>
        <w:rPr>
          <w:rFonts w:hint="eastAsia" w:ascii="宋体" w:hAnsi="宋体" w:cs="宋体"/>
          <w:sz w:val="24"/>
        </w:rPr>
        <w:t>4.质保期：≥</w:t>
      </w:r>
      <w:r>
        <w:rPr>
          <w:rFonts w:ascii="宋体" w:hAnsi="宋体" w:cs="宋体"/>
          <w:b/>
          <w:bCs/>
          <w:color w:val="FF0000"/>
          <w:sz w:val="24"/>
        </w:rPr>
        <w:t>3</w:t>
      </w:r>
      <w:r>
        <w:rPr>
          <w:rFonts w:hint="eastAsia" w:ascii="宋体" w:hAnsi="宋体" w:cs="宋体"/>
          <w:b/>
          <w:bCs/>
          <w:color w:val="FF0000"/>
          <w:sz w:val="24"/>
        </w:rPr>
        <w:t>年</w:t>
      </w:r>
      <w:r>
        <w:rPr>
          <w:rFonts w:hint="eastAsia" w:ascii="宋体" w:hAnsi="宋体" w:cs="宋体"/>
          <w:sz w:val="24"/>
        </w:rPr>
        <w:t>（供应商需明确具体年数）。</w:t>
      </w:r>
    </w:p>
    <w:p w14:paraId="37FEEAB1">
      <w:pPr>
        <w:spacing w:line="360" w:lineRule="auto"/>
        <w:rPr>
          <w:rFonts w:ascii="宋体" w:hAnsi="宋体" w:cs="宋体"/>
          <w:sz w:val="24"/>
        </w:rPr>
      </w:pPr>
      <w:r>
        <w:rPr>
          <w:rFonts w:hint="eastAsia" w:ascii="宋体" w:hAnsi="宋体" w:cs="宋体"/>
          <w:sz w:val="24"/>
        </w:rPr>
        <w:t>5.履约保证金：无</w:t>
      </w:r>
    </w:p>
    <w:p w14:paraId="39D57DB8">
      <w:pPr>
        <w:spacing w:line="360" w:lineRule="auto"/>
        <w:rPr>
          <w:rFonts w:ascii="宋体" w:hAnsi="宋体" w:cs="宋体"/>
          <w:sz w:val="24"/>
        </w:rPr>
      </w:pPr>
      <w:r>
        <w:rPr>
          <w:rFonts w:hint="eastAsia" w:ascii="宋体" w:hAnsi="宋体" w:cs="宋体"/>
          <w:sz w:val="24"/>
        </w:rPr>
        <w:t>6.付款方式：</w:t>
      </w:r>
    </w:p>
    <w:p w14:paraId="04F85B6A">
      <w:pPr>
        <w:spacing w:line="360" w:lineRule="auto"/>
        <w:ind w:firstLine="240" w:firstLineChars="100"/>
        <w:rPr>
          <w:rFonts w:ascii="宋体" w:hAnsi="宋体" w:cs="宋体"/>
          <w:sz w:val="24"/>
        </w:rPr>
      </w:pPr>
      <w:r>
        <w:rPr>
          <w:rFonts w:hint="eastAsia" w:ascii="宋体" w:hAnsi="宋体" w:cs="宋体"/>
          <w:sz w:val="24"/>
        </w:rPr>
        <w:t>6.1．合同签订后，设备交付，使用运行正常并验收合格之后，院方向供应商支付合同总价的</w:t>
      </w:r>
      <w:r>
        <w:rPr>
          <w:rFonts w:hint="default" w:ascii="Arial" w:hAnsi="Arial" w:cs="Arial"/>
          <w:b/>
          <w:bCs/>
          <w:color w:val="FF0000"/>
          <w:sz w:val="24"/>
        </w:rPr>
        <w:t>95%</w:t>
      </w:r>
      <w:r>
        <w:rPr>
          <w:rFonts w:hint="eastAsia" w:ascii="宋体" w:hAnsi="宋体" w:cs="宋体"/>
          <w:sz w:val="24"/>
        </w:rPr>
        <w:t>货款。</w:t>
      </w:r>
      <w:r>
        <w:rPr>
          <w:rFonts w:hint="eastAsia" w:ascii="宋体" w:hAnsi="宋体" w:cs="宋体"/>
          <w:sz w:val="24"/>
          <w:lang w:val="en-US" w:eastAsia="zh-CN"/>
        </w:rPr>
        <w:t>成交人在接收货款前，应向采购人开具正规发票。</w:t>
      </w:r>
    </w:p>
    <w:p w14:paraId="3636C3E4">
      <w:pPr>
        <w:spacing w:line="360" w:lineRule="auto"/>
        <w:ind w:firstLine="240" w:firstLineChars="100"/>
        <w:rPr>
          <w:rFonts w:asciiTheme="minorEastAsia" w:hAnsiTheme="minorEastAsia" w:eastAsiaTheme="minorEastAsia" w:cstheme="minorEastAsia"/>
          <w:sz w:val="24"/>
        </w:rPr>
      </w:pPr>
      <w:r>
        <w:rPr>
          <w:rFonts w:hint="eastAsia" w:ascii="宋体" w:hAnsi="宋体" w:cs="宋体"/>
          <w:sz w:val="24"/>
        </w:rPr>
        <w:t>6.2．余下的</w:t>
      </w:r>
      <w:r>
        <w:rPr>
          <w:rFonts w:hint="default" w:ascii="Arial" w:hAnsi="Arial" w:cs="Arial"/>
          <w:b/>
          <w:bCs/>
          <w:color w:val="FF0000"/>
          <w:sz w:val="24"/>
        </w:rPr>
        <w:t>5%</w:t>
      </w:r>
      <w:r>
        <w:rPr>
          <w:rFonts w:hint="eastAsia" w:ascii="宋体" w:hAnsi="宋体" w:cs="宋体"/>
          <w:sz w:val="24"/>
        </w:rPr>
        <w:t>货款于质保期满后，依据</w:t>
      </w:r>
      <w:r>
        <w:rPr>
          <w:rFonts w:hint="eastAsia" w:ascii="宋体" w:hAnsi="宋体" w:cs="宋体"/>
          <w:sz w:val="24"/>
          <w:lang w:val="en-US" w:eastAsia="zh-CN"/>
        </w:rPr>
        <w:t>响应</w:t>
      </w:r>
      <w:r>
        <w:rPr>
          <w:rFonts w:hint="eastAsia" w:ascii="宋体" w:hAnsi="宋体" w:cs="宋体"/>
          <w:sz w:val="24"/>
        </w:rPr>
        <w:t>文件所承诺的优惠条件、售后服务计划、培训计划等执行到位后，按规定程序办理支付手续，一次性付清。</w:t>
      </w:r>
    </w:p>
    <w:p w14:paraId="2165AEBE">
      <w:pPr>
        <w:spacing w:line="360" w:lineRule="auto"/>
        <w:ind w:firstLine="240" w:firstLineChars="100"/>
        <w:rPr>
          <w:rFonts w:hint="eastAsia" w:ascii="宋体" w:hAnsi="宋体" w:eastAsia="宋体"/>
          <w:b w:val="0"/>
          <w:bCs w:val="0"/>
          <w:sz w:val="24"/>
          <w:szCs w:val="24"/>
          <w:lang w:val="en-US" w:eastAsia="zh-CN"/>
        </w:rPr>
      </w:pPr>
      <w:bookmarkStart w:id="67" w:name="_GoBack"/>
      <w:bookmarkEnd w:id="67"/>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
        <w:rPr>
          <w:rFonts w:hint="eastAsia"/>
        </w:rPr>
      </w:pPr>
    </w:p>
    <w:p w14:paraId="2EA4399C">
      <w:pPr>
        <w:rPr>
          <w:rFonts w:hint="eastAsia"/>
        </w:rPr>
      </w:pPr>
    </w:p>
    <w:p w14:paraId="3AB7AB77">
      <w:pPr>
        <w:pStyle w:val="2"/>
        <w:rPr>
          <w:rFonts w:hint="eastAsia"/>
        </w:rPr>
      </w:pPr>
    </w:p>
    <w:p w14:paraId="283DC1C2">
      <w:pPr>
        <w:rPr>
          <w:rFonts w:hint="eastAsia"/>
        </w:rPr>
      </w:pPr>
    </w:p>
    <w:p w14:paraId="4C5E6A41">
      <w:pPr>
        <w:pStyle w:val="2"/>
        <w:rPr>
          <w:rFonts w:hint="eastAsia"/>
        </w:rPr>
      </w:pPr>
    </w:p>
    <w:p w14:paraId="24F56715">
      <w:pPr>
        <w:rPr>
          <w:rFonts w:hint="eastAsia"/>
        </w:rPr>
      </w:pPr>
    </w:p>
    <w:p w14:paraId="01071A47">
      <w:pPr>
        <w:pStyle w:val="2"/>
        <w:rPr>
          <w:rFonts w:hint="eastAsia"/>
        </w:rPr>
      </w:pPr>
    </w:p>
    <w:p w14:paraId="49896CD4">
      <w:pPr>
        <w:rPr>
          <w:rFonts w:hint="eastAsia"/>
        </w:rPr>
      </w:pPr>
    </w:p>
    <w:p w14:paraId="703EBD74">
      <w:pPr>
        <w:pStyle w:val="2"/>
        <w:rPr>
          <w:rFonts w:hint="eastAsia"/>
        </w:rPr>
      </w:pPr>
    </w:p>
    <w:p w14:paraId="160FB256">
      <w:pPr>
        <w:pStyle w:val="24"/>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8"/>
        <w:spacing w:before="0" w:after="0"/>
        <w:jc w:val="center"/>
        <w:rPr>
          <w:rFonts w:hint="eastAsia"/>
          <w:color w:val="auto"/>
          <w:sz w:val="28"/>
          <w:szCs w:val="36"/>
          <w:highlight w:val="none"/>
        </w:rPr>
      </w:pPr>
      <w:bookmarkStart w:id="6" w:name="_Toc902"/>
      <w:bookmarkStart w:id="7" w:name="_Toc2479"/>
    </w:p>
    <w:p w14:paraId="28459F4E">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6E800062">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4A4D98E4">
      <w:pPr>
        <w:pStyle w:val="3"/>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3"/>
        <w:rPr>
          <w:rFonts w:ascii="宋体"/>
          <w:sz w:val="24"/>
        </w:rPr>
      </w:pPr>
      <w:r>
        <w:rPr>
          <w:rFonts w:ascii="宋体"/>
          <w:sz w:val="24"/>
        </w:rPr>
        <w:br w:type="page"/>
      </w:r>
    </w:p>
    <w:p w14:paraId="77202BBA">
      <w:pPr>
        <w:jc w:val="center"/>
        <w:rPr>
          <w:rFonts w:ascii="宋体"/>
          <w:color w:val="auto"/>
          <w:highlight w:val="none"/>
        </w:rPr>
      </w:pPr>
    </w:p>
    <w:p w14:paraId="5EA889B8">
      <w:pPr>
        <w:pStyle w:val="8"/>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8"/>
        <w:spacing w:before="0" w:after="0"/>
        <w:jc w:val="center"/>
        <w:rPr>
          <w:rFonts w:hint="eastAsia"/>
          <w:color w:val="auto"/>
          <w:sz w:val="28"/>
          <w:szCs w:val="28"/>
          <w:highlight w:val="none"/>
        </w:rPr>
      </w:pPr>
      <w:bookmarkStart w:id="12" w:name="_Toc26111"/>
      <w:bookmarkStart w:id="13" w:name="_Toc4559"/>
      <w:bookmarkStart w:id="14" w:name="_Toc11890"/>
    </w:p>
    <w:p w14:paraId="426D896A">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8"/>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微软雅黑" w:hAnsi="微软雅黑" w:eastAsia="微软雅黑" w:cs="微软雅黑"/>
          <w:color w:val="333333"/>
          <w:kern w:val="0"/>
          <w:sz w:val="24"/>
          <w:szCs w:val="24"/>
          <w:lang w:val="en-US" w:eastAsia="zh-CN" w:bidi="ar-SA"/>
        </w:rPr>
        <w:t>或基本开户银行出具的有效资信证明。</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8"/>
        <w:spacing w:before="0" w:after="0"/>
        <w:jc w:val="center"/>
        <w:rPr>
          <w:rFonts w:hint="eastAsia"/>
          <w:color w:val="auto"/>
          <w:sz w:val="28"/>
          <w:szCs w:val="28"/>
          <w:highlight w:val="none"/>
        </w:rPr>
      </w:pPr>
      <w:bookmarkStart w:id="15" w:name="_Toc24403"/>
      <w:bookmarkStart w:id="16" w:name="_Toc569"/>
      <w:bookmarkStart w:id="17" w:name="_Toc19319"/>
    </w:p>
    <w:p w14:paraId="68DC185C">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
      </w:pPr>
    </w:p>
    <w:p w14:paraId="369289CC"/>
    <w:p w14:paraId="7991F338">
      <w:pPr>
        <w:pStyle w:val="2"/>
      </w:pPr>
    </w:p>
    <w:p w14:paraId="774445B8"/>
    <w:p w14:paraId="6769087E">
      <w:pPr>
        <w:pStyle w:val="2"/>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8"/>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8"/>
        <w:spacing w:before="0" w:after="0"/>
        <w:jc w:val="center"/>
        <w:rPr>
          <w:rFonts w:hint="eastAsia"/>
          <w:color w:val="auto"/>
          <w:sz w:val="28"/>
          <w:highlight w:val="none"/>
        </w:rPr>
      </w:pPr>
      <w:bookmarkStart w:id="21" w:name="_Toc31728"/>
      <w:bookmarkStart w:id="22" w:name="_Toc32668"/>
      <w:bookmarkStart w:id="23" w:name="_Toc8953"/>
    </w:p>
    <w:p w14:paraId="6DB56382">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
      </w:pPr>
    </w:p>
    <w:p w14:paraId="59F78956"/>
    <w:p w14:paraId="3EE0D3DB">
      <w:pPr>
        <w:pStyle w:val="2"/>
      </w:pPr>
    </w:p>
    <w:p w14:paraId="103FD9DB"/>
    <w:p w14:paraId="38BD66D3">
      <w:pPr>
        <w:pStyle w:val="2"/>
      </w:pPr>
    </w:p>
    <w:p w14:paraId="35293D7B"/>
    <w:p w14:paraId="24DD40B3">
      <w:pPr>
        <w:pStyle w:val="2"/>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8"/>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7"/>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8"/>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7"/>
        <w:rPr>
          <w:rFonts w:hint="eastAsia"/>
          <w:highlight w:val="cyan"/>
          <w:lang w:val="en-US" w:eastAsia="zh-CN"/>
        </w:rPr>
      </w:pPr>
    </w:p>
    <w:p w14:paraId="0D33B8AA">
      <w:pPr>
        <w:pStyle w:val="8"/>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8"/>
        <w:spacing w:before="0" w:after="0"/>
        <w:jc w:val="center"/>
        <w:rPr>
          <w:rFonts w:hint="eastAsia"/>
          <w:color w:val="auto"/>
          <w:sz w:val="24"/>
          <w:highlight w:val="none"/>
        </w:rPr>
      </w:pPr>
    </w:p>
    <w:p w14:paraId="07AC197E">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9"/>
        <w:rPr>
          <w:rFonts w:hint="eastAsia"/>
          <w:lang w:eastAsia="zh-CN"/>
        </w:rPr>
      </w:pPr>
    </w:p>
    <w:p w14:paraId="7B1C1616">
      <w:pPr>
        <w:pStyle w:val="8"/>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
        <w:rPr>
          <w:sz w:val="24"/>
          <w:szCs w:val="24"/>
        </w:rPr>
      </w:pPr>
    </w:p>
    <w:p w14:paraId="54E33299">
      <w:pPr>
        <w:rPr>
          <w:sz w:val="24"/>
          <w:szCs w:val="24"/>
        </w:rPr>
      </w:pPr>
    </w:p>
    <w:p w14:paraId="6115BACF">
      <w:pPr>
        <w:pStyle w:val="2"/>
        <w:rPr>
          <w:sz w:val="24"/>
          <w:szCs w:val="24"/>
        </w:rPr>
      </w:pPr>
    </w:p>
    <w:p w14:paraId="4D36772B">
      <w:pPr>
        <w:rPr>
          <w:sz w:val="24"/>
          <w:szCs w:val="24"/>
        </w:rPr>
      </w:pPr>
    </w:p>
    <w:p w14:paraId="4F730D83">
      <w:pPr>
        <w:pStyle w:val="2"/>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4"/>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8"/>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2B18C251">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
            </w:pPr>
          </w:p>
        </w:tc>
      </w:tr>
    </w:tbl>
    <w:p w14:paraId="0BB7B96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7"/>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475887"/>
      <w:bookmarkStart w:id="38" w:name="_Toc304219290"/>
      <w:bookmarkStart w:id="39" w:name="_Toc320878673"/>
      <w:bookmarkStart w:id="40" w:name="_Toc349642274"/>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
        <w:rPr>
          <w:rFonts w:hint="eastAsia"/>
        </w:rPr>
      </w:pPr>
    </w:p>
    <w:p w14:paraId="2EEEDF71">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8"/>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3"/>
        <w:jc w:val="center"/>
        <w:outlineLvl w:val="1"/>
        <w:rPr>
          <w:b/>
          <w:color w:val="auto"/>
          <w:sz w:val="32"/>
          <w:szCs w:val="32"/>
        </w:rPr>
      </w:pPr>
    </w:p>
    <w:p w14:paraId="0706ADE3">
      <w:pPr>
        <w:pStyle w:val="3"/>
        <w:jc w:val="center"/>
        <w:outlineLvl w:val="1"/>
        <w:rPr>
          <w:b/>
          <w:color w:val="auto"/>
          <w:sz w:val="32"/>
          <w:szCs w:val="32"/>
        </w:rPr>
      </w:pPr>
    </w:p>
    <w:p w14:paraId="7FD6279D">
      <w:pPr>
        <w:pStyle w:val="3"/>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
        <w:rPr>
          <w:rFonts w:hint="eastAsia"/>
          <w:lang w:val="en-US" w:eastAsia="zh-CN"/>
        </w:rPr>
      </w:pPr>
    </w:p>
    <w:p w14:paraId="2FC62B1B">
      <w:pPr>
        <w:rPr>
          <w:rFonts w:hint="eastAsia"/>
          <w:lang w:val="en-US" w:eastAsia="zh-CN"/>
        </w:rPr>
      </w:pPr>
    </w:p>
    <w:p w14:paraId="6DD00658">
      <w:pPr>
        <w:pStyle w:val="2"/>
        <w:rPr>
          <w:rFonts w:hint="eastAsia"/>
          <w:lang w:val="en-US" w:eastAsia="zh-CN"/>
        </w:rPr>
      </w:pPr>
    </w:p>
    <w:p w14:paraId="6E588EC5">
      <w:pPr>
        <w:rPr>
          <w:rFonts w:hint="eastAsia"/>
          <w:lang w:val="en-US" w:eastAsia="zh-CN"/>
        </w:rPr>
      </w:pPr>
    </w:p>
    <w:p w14:paraId="426D6D81">
      <w:pPr>
        <w:pStyle w:val="2"/>
        <w:rPr>
          <w:rFonts w:hint="eastAsia"/>
          <w:lang w:val="en-US" w:eastAsia="zh-CN"/>
        </w:rPr>
      </w:pPr>
    </w:p>
    <w:p w14:paraId="3CD79229">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
        <w:rPr>
          <w:rFonts w:hint="eastAsia"/>
        </w:rPr>
      </w:pPr>
    </w:p>
    <w:p w14:paraId="788816D9">
      <w:pPr>
        <w:rPr>
          <w:rFonts w:hint="eastAsia"/>
        </w:rPr>
      </w:pPr>
    </w:p>
    <w:p w14:paraId="1A34F106">
      <w:pPr>
        <w:pStyle w:val="2"/>
        <w:rPr>
          <w:rFonts w:hint="eastAsia"/>
        </w:rPr>
      </w:pPr>
    </w:p>
    <w:p w14:paraId="5B49F3B6">
      <w:pPr>
        <w:rPr>
          <w:rFonts w:hint="eastAsia"/>
        </w:rPr>
      </w:pPr>
    </w:p>
    <w:p w14:paraId="0F2AB2FF">
      <w:pPr>
        <w:pStyle w:val="2"/>
        <w:rPr>
          <w:rFonts w:hint="eastAsia"/>
        </w:rPr>
      </w:pPr>
    </w:p>
    <w:p w14:paraId="767567B7">
      <w:pPr>
        <w:rPr>
          <w:rFonts w:hint="eastAsia"/>
        </w:rPr>
      </w:pPr>
    </w:p>
    <w:p w14:paraId="74143957">
      <w:pPr>
        <w:pStyle w:val="2"/>
        <w:rPr>
          <w:rFonts w:hint="eastAsia"/>
        </w:rPr>
      </w:pPr>
    </w:p>
    <w:p w14:paraId="2E0A37CA">
      <w:pPr>
        <w:rPr>
          <w:rFonts w:hint="eastAsia"/>
        </w:rPr>
      </w:pPr>
    </w:p>
    <w:p w14:paraId="3B56C474">
      <w:pPr>
        <w:pStyle w:val="2"/>
        <w:rPr>
          <w:rFonts w:hint="eastAsia"/>
        </w:rPr>
      </w:pPr>
    </w:p>
    <w:p w14:paraId="2A2919DC">
      <w:pPr>
        <w:rPr>
          <w:rFonts w:hint="eastAsia"/>
        </w:rPr>
      </w:pPr>
    </w:p>
    <w:p w14:paraId="54FE03E0">
      <w:pPr>
        <w:pStyle w:val="2"/>
        <w:rPr>
          <w:rFonts w:hint="eastAsia"/>
        </w:rPr>
      </w:pPr>
    </w:p>
    <w:p w14:paraId="06AE7BEF">
      <w:pPr>
        <w:rPr>
          <w:rFonts w:hint="eastAsia"/>
        </w:rPr>
      </w:pPr>
    </w:p>
    <w:p w14:paraId="4EAEE74E">
      <w:pPr>
        <w:pStyle w:val="2"/>
        <w:rPr>
          <w:rFonts w:hint="eastAsia"/>
        </w:rPr>
      </w:pPr>
    </w:p>
    <w:p w14:paraId="5C3CFDF2">
      <w:pPr>
        <w:rPr>
          <w:rFonts w:hint="eastAsia"/>
        </w:rPr>
      </w:pPr>
    </w:p>
    <w:p w14:paraId="77D1CB3A">
      <w:pPr>
        <w:pStyle w:val="2"/>
        <w:rPr>
          <w:rFonts w:hint="eastAsia"/>
        </w:rPr>
      </w:pPr>
    </w:p>
    <w:p w14:paraId="3A56DFF0">
      <w:pPr>
        <w:rPr>
          <w:rFonts w:hint="eastAsia"/>
        </w:rPr>
      </w:pPr>
    </w:p>
    <w:p w14:paraId="6C646BD8">
      <w:pPr>
        <w:pStyle w:val="2"/>
        <w:rPr>
          <w:rFonts w:hint="eastAsia"/>
        </w:rPr>
      </w:pPr>
    </w:p>
    <w:p w14:paraId="5F558C04">
      <w:pPr>
        <w:rPr>
          <w:rFonts w:hint="eastAsia"/>
        </w:rPr>
      </w:pPr>
    </w:p>
    <w:p w14:paraId="2915304E">
      <w:pPr>
        <w:pStyle w:val="2"/>
        <w:rPr>
          <w:rFonts w:hint="eastAsia"/>
        </w:rPr>
      </w:pPr>
    </w:p>
    <w:p w14:paraId="61971C5F">
      <w:pPr>
        <w:rPr>
          <w:rFonts w:hint="eastAsia"/>
        </w:rPr>
      </w:pPr>
    </w:p>
    <w:p w14:paraId="3BE23111">
      <w:pPr>
        <w:pStyle w:val="2"/>
        <w:rPr>
          <w:rFonts w:hint="eastAsia"/>
        </w:rPr>
      </w:pPr>
    </w:p>
    <w:p w14:paraId="7C75A853">
      <w:pPr>
        <w:rPr>
          <w:rFonts w:hint="eastAsia"/>
        </w:rPr>
      </w:pPr>
    </w:p>
    <w:p w14:paraId="387CE8AC">
      <w:pPr>
        <w:pStyle w:val="2"/>
        <w:rPr>
          <w:rFonts w:hint="eastAsia"/>
        </w:rPr>
      </w:pPr>
    </w:p>
    <w:p w14:paraId="6B872ED7">
      <w:pPr>
        <w:rPr>
          <w:rFonts w:hint="eastAsia"/>
        </w:rPr>
      </w:pPr>
    </w:p>
    <w:p w14:paraId="16E19B26">
      <w:pPr>
        <w:pStyle w:val="2"/>
        <w:rPr>
          <w:rFonts w:hint="eastAsia"/>
        </w:rPr>
      </w:pPr>
    </w:p>
    <w:p w14:paraId="6AA0398E">
      <w:pPr>
        <w:rPr>
          <w:rFonts w:hint="eastAsia"/>
        </w:rPr>
      </w:pPr>
    </w:p>
    <w:p w14:paraId="7BFA5299">
      <w:pPr>
        <w:pStyle w:val="2"/>
        <w:rPr>
          <w:rFonts w:hint="eastAsia"/>
        </w:rPr>
      </w:pPr>
    </w:p>
    <w:p w14:paraId="1AB14EF5">
      <w:pPr>
        <w:rPr>
          <w:rFonts w:hint="eastAsia"/>
        </w:rPr>
      </w:pPr>
    </w:p>
    <w:p w14:paraId="5009ACF6">
      <w:pPr>
        <w:pStyle w:val="2"/>
        <w:rPr>
          <w:rFonts w:hint="eastAsia"/>
        </w:rPr>
      </w:pPr>
    </w:p>
    <w:p w14:paraId="5D7FF4CA">
      <w:pPr>
        <w:rPr>
          <w:rFonts w:hint="eastAsia"/>
        </w:rPr>
      </w:pPr>
    </w:p>
    <w:p w14:paraId="31D8C8B3">
      <w:pPr>
        <w:pStyle w:val="2"/>
        <w:rPr>
          <w:rFonts w:hint="eastAsia"/>
        </w:rPr>
      </w:pPr>
    </w:p>
    <w:p w14:paraId="28E13829">
      <w:pPr>
        <w:rPr>
          <w:rFonts w:hint="eastAsia"/>
        </w:rPr>
      </w:pPr>
    </w:p>
    <w:p w14:paraId="4ADF7C65">
      <w:pPr>
        <w:pStyle w:val="2"/>
        <w:rPr>
          <w:rFonts w:hint="eastAsia"/>
        </w:rPr>
      </w:pPr>
    </w:p>
    <w:p w14:paraId="7CF9FA9C">
      <w:pPr>
        <w:rPr>
          <w:rFonts w:hint="eastAsia"/>
        </w:rPr>
      </w:pPr>
    </w:p>
    <w:p w14:paraId="58DF44A7">
      <w:pPr>
        <w:pStyle w:val="2"/>
        <w:rPr>
          <w:rFonts w:hint="eastAsia"/>
        </w:rPr>
      </w:pPr>
    </w:p>
    <w:p w14:paraId="4C26B79B">
      <w:pPr>
        <w:rPr>
          <w:rFonts w:hint="eastAsia"/>
        </w:rPr>
      </w:pPr>
    </w:p>
    <w:p w14:paraId="78D5114F">
      <w:pPr>
        <w:pStyle w:val="2"/>
        <w:rPr>
          <w:rFonts w:hint="eastAsia"/>
        </w:rPr>
      </w:pPr>
    </w:p>
    <w:p w14:paraId="6532BDC6">
      <w:pPr>
        <w:rPr>
          <w:rFonts w:hint="eastAsia"/>
        </w:rPr>
      </w:pPr>
    </w:p>
    <w:p w14:paraId="2FCFCB01">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
        <w:rPr>
          <w:rFonts w:hint="eastAsia"/>
          <w:lang w:val="en-US" w:eastAsia="zh-CN"/>
        </w:rPr>
      </w:pPr>
    </w:p>
    <w:p w14:paraId="54FC28E2">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5"/>
        <w:rPr>
          <w:rFonts w:hint="eastAsia"/>
          <w:lang w:val="en-US" w:eastAsia="zh-CN"/>
        </w:rPr>
      </w:pPr>
    </w:p>
    <w:p w14:paraId="4D325021">
      <w:pPr>
        <w:pStyle w:val="8"/>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4"/>
        <w:rPr>
          <w:rFonts w:hint="eastAsia"/>
          <w:lang w:val="en-US" w:eastAsia="zh-CN"/>
        </w:rPr>
      </w:pPr>
    </w:p>
    <w:p w14:paraId="1361F974">
      <w:pPr>
        <w:pStyle w:val="8"/>
        <w:spacing w:before="0" w:after="0"/>
        <w:jc w:val="center"/>
        <w:rPr>
          <w:rFonts w:hint="eastAsia"/>
          <w:color w:val="auto"/>
          <w:sz w:val="28"/>
          <w:highlight w:val="none"/>
          <w:lang w:val="en-US" w:eastAsia="zh-CN"/>
        </w:rPr>
      </w:pPr>
      <w:bookmarkStart w:id="45" w:name="_Toc23117"/>
      <w:bookmarkStart w:id="46" w:name="_Toc11982"/>
    </w:p>
    <w:p w14:paraId="1CD761A2">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7"/>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8"/>
        <w:spacing w:before="0" w:after="0"/>
        <w:jc w:val="center"/>
        <w:rPr>
          <w:rFonts w:hint="eastAsia"/>
          <w:color w:val="auto"/>
          <w:sz w:val="28"/>
          <w:highlight w:val="none"/>
          <w:lang w:val="en-US" w:eastAsia="zh-CN"/>
        </w:rPr>
      </w:pPr>
      <w:bookmarkStart w:id="47" w:name="_Toc20496"/>
      <w:bookmarkStart w:id="48" w:name="_Toc23816"/>
    </w:p>
    <w:p w14:paraId="314E67CC">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7"/>
        <w:rPr>
          <w:rFonts w:hint="eastAsia"/>
          <w:lang w:eastAsia="zh-CN"/>
        </w:rPr>
      </w:pPr>
    </w:p>
    <w:p w14:paraId="02CC1B4B">
      <w:pPr>
        <w:pStyle w:val="7"/>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8"/>
        <w:bidi w:val="0"/>
        <w:jc w:val="center"/>
        <w:rPr>
          <w:rFonts w:hint="eastAsia"/>
          <w:color w:val="auto"/>
          <w:sz w:val="28"/>
          <w:highlight w:val="none"/>
          <w:lang w:val="en-US" w:eastAsia="zh-CN"/>
        </w:rPr>
      </w:pPr>
      <w:bookmarkStart w:id="49" w:name="_Toc2922"/>
      <w:bookmarkStart w:id="50" w:name="_Toc4948"/>
      <w:bookmarkStart w:id="51" w:name="_Toc15867"/>
      <w:bookmarkStart w:id="52" w:name="_Toc29526"/>
      <w:bookmarkStart w:id="53" w:name="_Toc4599"/>
      <w:bookmarkStart w:id="54" w:name="_Toc10750"/>
      <w:bookmarkStart w:id="55" w:name="_Toc320878714"/>
      <w:bookmarkStart w:id="56" w:name="_Toc304219331"/>
      <w:bookmarkStart w:id="57" w:name="_Toc28583"/>
      <w:bookmarkStart w:id="58" w:name="_Toc12801"/>
      <w:bookmarkStart w:id="59" w:name="_Toc337554798"/>
      <w:bookmarkStart w:id="60" w:name="_Toc30765"/>
      <w:bookmarkStart w:id="61" w:name="_Toc349642319"/>
      <w:bookmarkStart w:id="62" w:name="_Toc337475928"/>
    </w:p>
    <w:p w14:paraId="5B28E6B7">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7"/>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8"/>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8"/>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5C6C40"/>
    <w:rsid w:val="119E337F"/>
    <w:rsid w:val="11A46BCD"/>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391D02"/>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AE3B00"/>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63713A"/>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EC40C5"/>
    <w:rsid w:val="7AF34055"/>
    <w:rsid w:val="7B4C1855"/>
    <w:rsid w:val="7B8716DC"/>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1"/>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2"/>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0"/>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49"/>
    <w:autoRedefine/>
    <w:unhideWhenUsed/>
    <w:qFormat/>
    <w:uiPriority w:val="0"/>
    <w:pPr>
      <w:ind w:firstLine="420" w:firstLineChars="200"/>
    </w:pPr>
  </w:style>
  <w:style w:type="paragraph" w:styleId="13">
    <w:name w:val="annotation text"/>
    <w:basedOn w:val="1"/>
    <w:link w:val="51"/>
    <w:autoRedefine/>
    <w:qFormat/>
    <w:uiPriority w:val="0"/>
    <w:pPr>
      <w:jc w:val="left"/>
    </w:pPr>
    <w:rPr>
      <w:szCs w:val="24"/>
    </w:rPr>
  </w:style>
  <w:style w:type="paragraph" w:styleId="14">
    <w:name w:val="Body Text 3"/>
    <w:basedOn w:val="1"/>
    <w:link w:val="52"/>
    <w:autoRedefine/>
    <w:semiHidden/>
    <w:unhideWhenUsed/>
    <w:qFormat/>
    <w:uiPriority w:val="99"/>
    <w:pPr>
      <w:spacing w:after="120"/>
    </w:pPr>
    <w:rPr>
      <w:sz w:val="16"/>
      <w:szCs w:val="16"/>
    </w:rPr>
  </w:style>
  <w:style w:type="paragraph" w:styleId="15">
    <w:name w:val="Body Text Indent"/>
    <w:basedOn w:val="1"/>
    <w:next w:val="16"/>
    <w:link w:val="54"/>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5"/>
    <w:autoRedefine/>
    <w:qFormat/>
    <w:uiPriority w:val="0"/>
    <w:rPr>
      <w:rFonts w:ascii="宋体" w:hAnsi="Courier New"/>
    </w:rPr>
  </w:style>
  <w:style w:type="paragraph" w:styleId="19">
    <w:name w:val="Date"/>
    <w:basedOn w:val="1"/>
    <w:next w:val="1"/>
    <w:link w:val="56"/>
    <w:autoRedefine/>
    <w:semiHidden/>
    <w:unhideWhenUsed/>
    <w:qFormat/>
    <w:uiPriority w:val="99"/>
    <w:pPr>
      <w:ind w:left="100" w:leftChars="2500"/>
    </w:pPr>
  </w:style>
  <w:style w:type="paragraph" w:styleId="20">
    <w:name w:val="Balloon Text"/>
    <w:basedOn w:val="1"/>
    <w:link w:val="137"/>
    <w:autoRedefine/>
    <w:semiHidden/>
    <w:unhideWhenUsed/>
    <w:qFormat/>
    <w:uiPriority w:val="99"/>
    <w:rPr>
      <w:sz w:val="18"/>
      <w:szCs w:val="18"/>
    </w:rPr>
  </w:style>
  <w:style w:type="paragraph" w:styleId="21">
    <w:name w:val="footer"/>
    <w:basedOn w:val="1"/>
    <w:link w:val="57"/>
    <w:autoRedefine/>
    <w:unhideWhenUsed/>
    <w:qFormat/>
    <w:uiPriority w:val="99"/>
    <w:pPr>
      <w:tabs>
        <w:tab w:val="center" w:pos="4153"/>
        <w:tab w:val="right" w:pos="8306"/>
      </w:tabs>
      <w:snapToGrid w:val="0"/>
      <w:jc w:val="left"/>
    </w:pPr>
    <w:rPr>
      <w:sz w:val="18"/>
      <w:szCs w:val="18"/>
    </w:rPr>
  </w:style>
  <w:style w:type="paragraph" w:styleId="22">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5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FollowedHyperlink"/>
    <w:basedOn w:val="34"/>
    <w:autoRedefine/>
    <w:semiHidden/>
    <w:unhideWhenUsed/>
    <w:qFormat/>
    <w:uiPriority w:val="99"/>
    <w:rPr>
      <w:color w:val="444444"/>
      <w:sz w:val="21"/>
      <w:szCs w:val="21"/>
      <w:u w:val="none"/>
    </w:rPr>
  </w:style>
  <w:style w:type="character" w:styleId="37">
    <w:name w:val="Hyperlink"/>
    <w:basedOn w:val="34"/>
    <w:autoRedefine/>
    <w:unhideWhenUsed/>
    <w:qFormat/>
    <w:uiPriority w:val="99"/>
    <w:rPr>
      <w:color w:val="0000FF" w:themeColor="hyperlink"/>
      <w:u w:val="single"/>
      <w14:textFill>
        <w14:solidFill>
          <w14:schemeClr w14:val="hlink"/>
        </w14:solidFill>
      </w14:textFill>
    </w:rPr>
  </w:style>
  <w:style w:type="character" w:styleId="38">
    <w:name w:val="HTML Code"/>
    <w:basedOn w:val="34"/>
    <w:autoRedefine/>
    <w:semiHidden/>
    <w:unhideWhenUsed/>
    <w:qFormat/>
    <w:uiPriority w:val="99"/>
    <w:rPr>
      <w:rFonts w:ascii="Courier New" w:hAnsi="Courier New"/>
      <w:sz w:val="20"/>
    </w:rPr>
  </w:style>
  <w:style w:type="character" w:styleId="39">
    <w:name w:val="annotation reference"/>
    <w:basedOn w:val="34"/>
    <w:autoRedefine/>
    <w:semiHidden/>
    <w:unhideWhenUsed/>
    <w:qFormat/>
    <w:uiPriority w:val="99"/>
    <w:rPr>
      <w:sz w:val="21"/>
      <w:szCs w:val="21"/>
    </w:rPr>
  </w:style>
  <w:style w:type="character" w:customStyle="1" w:styleId="40">
    <w:name w:val="标题 1 Char"/>
    <w:basedOn w:val="34"/>
    <w:link w:val="6"/>
    <w:autoRedefine/>
    <w:qFormat/>
    <w:uiPriority w:val="9"/>
    <w:rPr>
      <w:b/>
      <w:bCs/>
      <w:kern w:val="44"/>
      <w:sz w:val="44"/>
      <w:szCs w:val="44"/>
    </w:rPr>
  </w:style>
  <w:style w:type="character" w:customStyle="1" w:styleId="41">
    <w:name w:val="标题 2 Char"/>
    <w:basedOn w:val="34"/>
    <w:link w:val="7"/>
    <w:autoRedefine/>
    <w:qFormat/>
    <w:uiPriority w:val="0"/>
    <w:rPr>
      <w:rFonts w:ascii="Arial" w:hAnsi="Arial" w:eastAsia="黑体" w:cs="Times New Roman"/>
      <w:b/>
      <w:sz w:val="32"/>
      <w:szCs w:val="20"/>
    </w:rPr>
  </w:style>
  <w:style w:type="character" w:customStyle="1" w:styleId="42">
    <w:name w:val="标题 3 Char"/>
    <w:basedOn w:val="34"/>
    <w:link w:val="8"/>
    <w:autoRedefine/>
    <w:qFormat/>
    <w:uiPriority w:val="9"/>
    <w:rPr>
      <w:b/>
      <w:bCs/>
      <w:sz w:val="32"/>
      <w:szCs w:val="32"/>
    </w:rPr>
  </w:style>
  <w:style w:type="character" w:customStyle="1" w:styleId="43">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4">
    <w:name w:val="Default"/>
    <w:next w:val="4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5">
    <w:name w:val="Char Char10 Char Char Char Char"/>
    <w:basedOn w:val="1"/>
    <w:next w:val="46"/>
    <w:autoRedefine/>
    <w:qFormat/>
    <w:uiPriority w:val="0"/>
    <w:rPr>
      <w:rFonts w:ascii="Calibri" w:hAnsi="Calibri"/>
      <w:kern w:val="0"/>
    </w:rPr>
  </w:style>
  <w:style w:type="paragraph" w:customStyle="1" w:styleId="46">
    <w:name w:val="xl87"/>
    <w:basedOn w:val="1"/>
    <w:next w:val="47"/>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7">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样式1"/>
    <w:basedOn w:val="22"/>
    <w:next w:val="10"/>
    <w:autoRedefine/>
    <w:qFormat/>
    <w:uiPriority w:val="0"/>
    <w:pPr>
      <w:tabs>
        <w:tab w:val="left" w:pos="425"/>
      </w:tabs>
      <w:ind w:left="425" w:hanging="425"/>
    </w:pPr>
  </w:style>
  <w:style w:type="character" w:customStyle="1" w:styleId="49">
    <w:name w:val="正文缩进 Char"/>
    <w:link w:val="12"/>
    <w:autoRedefine/>
    <w:qFormat/>
    <w:uiPriority w:val="0"/>
  </w:style>
  <w:style w:type="character" w:customStyle="1" w:styleId="50">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1">
    <w:name w:val="批注文字 Char1"/>
    <w:link w:val="13"/>
    <w:autoRedefine/>
    <w:qFormat/>
    <w:uiPriority w:val="0"/>
    <w:rPr>
      <w:szCs w:val="24"/>
    </w:rPr>
  </w:style>
  <w:style w:type="character" w:customStyle="1" w:styleId="52">
    <w:name w:val="正文文本 3 Char"/>
    <w:basedOn w:val="34"/>
    <w:link w:val="14"/>
    <w:autoRedefine/>
    <w:semiHidden/>
    <w:qFormat/>
    <w:uiPriority w:val="99"/>
    <w:rPr>
      <w:sz w:val="16"/>
      <w:szCs w:val="16"/>
    </w:rPr>
  </w:style>
  <w:style w:type="character" w:customStyle="1" w:styleId="53">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4"/>
    <w:link w:val="15"/>
    <w:autoRedefine/>
    <w:semiHidden/>
    <w:qFormat/>
    <w:uiPriority w:val="99"/>
  </w:style>
  <w:style w:type="character" w:customStyle="1" w:styleId="55">
    <w:name w:val="纯文本 Char"/>
    <w:link w:val="18"/>
    <w:autoRedefine/>
    <w:qFormat/>
    <w:uiPriority w:val="0"/>
    <w:rPr>
      <w:rFonts w:ascii="宋体" w:hAnsi="Courier New"/>
    </w:rPr>
  </w:style>
  <w:style w:type="character" w:customStyle="1" w:styleId="56">
    <w:name w:val="日期 Char"/>
    <w:basedOn w:val="34"/>
    <w:link w:val="19"/>
    <w:autoRedefine/>
    <w:semiHidden/>
    <w:qFormat/>
    <w:uiPriority w:val="99"/>
    <w:rPr>
      <w:kern w:val="2"/>
      <w:sz w:val="21"/>
      <w:szCs w:val="22"/>
    </w:rPr>
  </w:style>
  <w:style w:type="character" w:customStyle="1" w:styleId="57">
    <w:name w:val="页脚 Char"/>
    <w:basedOn w:val="34"/>
    <w:link w:val="21"/>
    <w:autoRedefine/>
    <w:qFormat/>
    <w:uiPriority w:val="99"/>
    <w:rPr>
      <w:sz w:val="18"/>
      <w:szCs w:val="18"/>
    </w:rPr>
  </w:style>
  <w:style w:type="character" w:customStyle="1" w:styleId="58">
    <w:name w:val="页眉 Char"/>
    <w:basedOn w:val="34"/>
    <w:link w:val="22"/>
    <w:autoRedefine/>
    <w:qFormat/>
    <w:uiPriority w:val="99"/>
    <w:rPr>
      <w:sz w:val="18"/>
      <w:szCs w:val="18"/>
    </w:rPr>
  </w:style>
  <w:style w:type="character" w:customStyle="1" w:styleId="59">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4"/>
    <w:autoRedefine/>
    <w:semiHidden/>
    <w:qFormat/>
    <w:uiPriority w:val="99"/>
  </w:style>
  <w:style w:type="character" w:customStyle="1" w:styleId="64">
    <w:name w:val="纯文本 Char1"/>
    <w:basedOn w:val="34"/>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qFormat/>
    <w:uiPriority w:val="0"/>
    <w:rPr>
      <w:rFonts w:ascii="Calibri" w:hAnsi="Calibri"/>
      <w:kern w:val="2"/>
      <w:sz w:val="21"/>
      <w:szCs w:val="22"/>
    </w:rPr>
  </w:style>
  <w:style w:type="character" w:customStyle="1" w:styleId="140">
    <w:name w:val="纯文本 字符1"/>
    <w:qFormat/>
    <w:uiPriority w:val="0"/>
    <w:rPr>
      <w:rFonts w:ascii="宋体" w:hAnsi="Courier New"/>
      <w:kern w:val="2"/>
      <w:sz w:val="21"/>
    </w:rPr>
  </w:style>
  <w:style w:type="character" w:customStyle="1" w:styleId="141">
    <w:name w:val="列出段落 Char"/>
    <w:link w:val="68"/>
    <w:qFormat/>
    <w:locked/>
    <w:uiPriority w:val="34"/>
    <w:rPr>
      <w:rFonts w:asciiTheme="minorHAnsi" w:hAnsiTheme="minorHAnsi" w:eastAsiaTheme="minorEastAsia" w:cstheme="minorBidi"/>
      <w:kern w:val="2"/>
      <w:sz w:val="21"/>
      <w:szCs w:val="22"/>
    </w:rPr>
  </w:style>
  <w:style w:type="character" w:customStyle="1" w:styleId="142">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4"/>
    <w:autoRedefine/>
    <w:qFormat/>
    <w:uiPriority w:val="0"/>
  </w:style>
  <w:style w:type="character" w:customStyle="1" w:styleId="144">
    <w:name w:val="hover17"/>
    <w:basedOn w:val="34"/>
    <w:qFormat/>
    <w:uiPriority w:val="0"/>
  </w:style>
  <w:style w:type="character" w:customStyle="1" w:styleId="145">
    <w:name w:val="NormalCharacter"/>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4"/>
    <w:qFormat/>
    <w:uiPriority w:val="0"/>
    <w:rPr>
      <w:color w:val="B1B1B1"/>
      <w:sz w:val="18"/>
      <w:szCs w:val="18"/>
    </w:rPr>
  </w:style>
  <w:style w:type="paragraph" w:styleId="149">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qFormat/>
    <w:uiPriority w:val="0"/>
    <w:pPr>
      <w:spacing w:line="360" w:lineRule="auto"/>
      <w:ind w:firstLine="420" w:firstLineChars="200"/>
    </w:pPr>
    <w:rPr>
      <w:rFonts w:ascii="宋体" w:hAnsi="宋体"/>
    </w:rPr>
  </w:style>
  <w:style w:type="paragraph" w:customStyle="1" w:styleId="151">
    <w:name w:val="列表段落1"/>
    <w:basedOn w:val="1"/>
    <w:unhideWhenUsed/>
    <w:qFormat/>
    <w:uiPriority w:val="34"/>
    <w:pPr>
      <w:ind w:firstLine="420" w:firstLineChars="200"/>
    </w:pPr>
  </w:style>
  <w:style w:type="paragraph" w:customStyle="1" w:styleId="152">
    <w:name w:val="正文_13_0"/>
    <w:basedOn w:val="1"/>
    <w:qFormat/>
    <w:uiPriority w:val="0"/>
    <w:rPr>
      <w:szCs w:val="21"/>
    </w:rPr>
  </w:style>
  <w:style w:type="paragraph" w:customStyle="1" w:styleId="153">
    <w:name w:val="正文1"/>
    <w:basedOn w:val="1"/>
    <w:next w:val="154"/>
    <w:qFormat/>
    <w:uiPriority w:val="0"/>
    <w:pPr>
      <w:spacing w:line="380" w:lineRule="exact"/>
      <w:jc w:val="center"/>
    </w:pPr>
    <w:rPr>
      <w:rFonts w:ascii="黑体" w:eastAsia="黑体"/>
    </w:rPr>
  </w:style>
  <w:style w:type="paragraph" w:customStyle="1" w:styleId="154">
    <w:name w:val="表格"/>
    <w:basedOn w:val="1"/>
    <w:next w:val="155"/>
    <w:qFormat/>
    <w:uiPriority w:val="0"/>
    <w:pPr>
      <w:jc w:val="center"/>
    </w:pPr>
    <w:rPr>
      <w:rFonts w:ascii="华文细黑"/>
    </w:rPr>
  </w:style>
  <w:style w:type="paragraph" w:customStyle="1" w:styleId="155">
    <w:name w:val="空半行"/>
    <w:basedOn w:val="1"/>
    <w:next w:val="156"/>
    <w:qFormat/>
    <w:uiPriority w:val="0"/>
    <w:pPr>
      <w:spacing w:line="120" w:lineRule="exact"/>
    </w:pPr>
    <w:rPr>
      <w:rFonts w:eastAsia="仿宋_GB2312"/>
      <w:color w:val="FFFFFF"/>
      <w:sz w:val="30"/>
    </w:rPr>
  </w:style>
  <w:style w:type="paragraph" w:customStyle="1" w:styleId="156">
    <w:name w:val="样式"/>
    <w:next w:val="93"/>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qFormat/>
    <w:uiPriority w:val="99"/>
    <w:pPr>
      <w:spacing w:line="400" w:lineRule="exact"/>
    </w:pPr>
  </w:style>
  <w:style w:type="paragraph" w:customStyle="1" w:styleId="1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59">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4998</Words>
  <Characters>5172</Characters>
  <Lines>315</Lines>
  <Paragraphs>88</Paragraphs>
  <TotalTime>0</TotalTime>
  <ScaleCrop>false</ScaleCrop>
  <LinksUpToDate>false</LinksUpToDate>
  <CharactersWithSpaces>6021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吕芳</cp:lastModifiedBy>
  <cp:lastPrinted>2022-03-04T01:40:00Z</cp:lastPrinted>
  <dcterms:modified xsi:type="dcterms:W3CDTF">2025-09-27T02:08:26Z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0C1671EF75B04043904A8BD7B57E1AF6_13</vt:lpwstr>
  </property>
  <property fmtid="{D5CDD505-2E9C-101B-9397-08002B2CF9AE}" pid="4" name="KSOTemplateDocerSaveRecord">
    <vt:lpwstr>eyJoZGlkIjoiNDdiYzIwYzJkY2VlZTA0OGY0ZGI2YmQyZmFjZDk5NjQiLCJ1c2VySWQiOiIxNzM5Mjk3MTU3In0=</vt:lpwstr>
  </property>
</Properties>
</file>