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6BE72582">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医用智能艾灸排烟系统</w:t>
      </w:r>
    </w:p>
    <w:p w14:paraId="4198787D">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lang w:eastAsia="zh-CN"/>
        </w:rPr>
        <w:t>采购项目</w:t>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9"/>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rPr>
        <w:t>-</w:t>
      </w:r>
      <w:r>
        <w:rPr>
          <w:rFonts w:hint="eastAsia" w:ascii="宋体" w:hAnsi="宋体" w:cs="宋体"/>
          <w:b/>
          <w:sz w:val="32"/>
          <w:highlight w:val="none"/>
          <w:lang w:eastAsia="zh-CN"/>
        </w:rPr>
        <w:t>202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091</w:t>
      </w:r>
    </w:p>
    <w:p w14:paraId="146A9B8D">
      <w:pPr>
        <w:widowControl/>
        <w:spacing w:line="360" w:lineRule="auto"/>
        <w:outlineLvl w:val="0"/>
        <w:rPr>
          <w:b/>
          <w:sz w:val="52"/>
          <w:szCs w:val="52"/>
          <w:highlight w:val="none"/>
        </w:rPr>
      </w:pPr>
    </w:p>
    <w:p w14:paraId="2F3A82E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9</w:t>
      </w:r>
      <w:r>
        <w:rPr>
          <w:rFonts w:hint="eastAsia" w:ascii="宋体" w:hAnsi="宋体" w:cs="宋体"/>
          <w:b/>
          <w:sz w:val="30"/>
          <w:szCs w:val="30"/>
          <w:highlight w:val="none"/>
        </w:rPr>
        <w:t>月</w:t>
      </w: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30C69788">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val="en-US" w:eastAsia="zh-CN"/>
        </w:rPr>
      </w:pPr>
      <w:r>
        <w:rPr>
          <w:rFonts w:hint="eastAsia" w:ascii="宋体" w:hAnsi="宋体"/>
          <w:b/>
          <w:sz w:val="28"/>
          <w:szCs w:val="28"/>
          <w:highlight w:val="none"/>
          <w:lang w:eastAsia="zh-CN"/>
        </w:rPr>
        <w:t>河南省胸科医院医用智能艾灸排烟系统采购项目</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河南省胸科医院医用智能艾灸排烟系统采购项目</w:t>
      </w:r>
      <w:r>
        <w:rPr>
          <w:rFonts w:hint="default" w:asciiTheme="minorEastAsia" w:hAnsiTheme="minorEastAsia" w:eastAsiaTheme="minorEastAsia" w:cstheme="minorEastAsia"/>
          <w:color w:val="333333"/>
          <w:sz w:val="24"/>
          <w:szCs w:val="24"/>
          <w:highlight w:val="none"/>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医用智能艾灸排烟系统</w:t>
      </w:r>
      <w:r>
        <w:rPr>
          <w:rFonts w:hint="eastAsia" w:asciiTheme="minorEastAsia" w:hAnsiTheme="minorEastAsia" w:eastAsiaTheme="minorEastAsia" w:cstheme="minorEastAsia"/>
          <w:color w:val="333333"/>
          <w:sz w:val="24"/>
          <w:szCs w:val="24"/>
          <w:highlight w:val="none"/>
          <w:lang w:val="en-US" w:eastAsia="zh-CN"/>
        </w:rPr>
        <w:t>3套</w:t>
      </w:r>
      <w:r>
        <w:rPr>
          <w:rFonts w:hint="default" w:asciiTheme="minorEastAsia" w:hAnsiTheme="minorEastAsia" w:eastAsiaTheme="minorEastAsia" w:cstheme="minorEastAsia"/>
          <w:color w:val="333333"/>
          <w:sz w:val="24"/>
          <w:szCs w:val="24"/>
          <w:highlight w:val="none"/>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7.5</w:t>
      </w:r>
      <w:r>
        <w:rPr>
          <w:rFonts w:hint="default" w:asciiTheme="minorEastAsia" w:hAnsiTheme="minorEastAsia" w:eastAsiaTheme="minorEastAsia" w:cstheme="minorEastAsia"/>
          <w:color w:val="333333"/>
          <w:sz w:val="24"/>
          <w:szCs w:val="24"/>
          <w:highlight w:val="none"/>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日，每</w:t>
      </w:r>
      <w:r>
        <w:rPr>
          <w:rFonts w:hint="default" w:asciiTheme="minorEastAsia" w:hAnsiTheme="minorEastAsia" w:eastAsiaTheme="minorEastAsia" w:cstheme="minorEastAsia"/>
          <w:color w:val="333333"/>
          <w:sz w:val="24"/>
          <w:szCs w:val="24"/>
        </w:rPr>
        <w:t>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w:t>
      </w:r>
      <w:bookmarkStart w:id="67" w:name="_GoBack"/>
      <w:bookmarkEnd w:id="67"/>
      <w:r>
        <w:rPr>
          <w:rFonts w:hint="default" w:asciiTheme="minorEastAsia" w:hAnsiTheme="minorEastAsia" w:eastAsiaTheme="minorEastAsia" w:cstheme="minorEastAsia"/>
          <w:color w:val="333333"/>
          <w:sz w:val="24"/>
          <w:szCs w:val="24"/>
        </w:rPr>
        <w:t>处自行下载，同时将资料清单（见公告末尾）纸质版加盖公章，扫描PDF版发至邮箱zbb65662712@163.com。</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4AE6AB0">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6E07A2C8">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3B509C1C">
      <w:pPr>
        <w:spacing w:line="36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rPr>
        <w:t>1、</w:t>
      </w:r>
      <w:r>
        <w:rPr>
          <w:rFonts w:hint="eastAsia" w:asciiTheme="minorEastAsia" w:hAnsiTheme="minorEastAsia" w:eastAsiaTheme="minorEastAsia" w:cstheme="minorEastAsia"/>
          <w:b w:val="0"/>
          <w:bCs w:val="0"/>
          <w:color w:val="auto"/>
          <w:sz w:val="24"/>
          <w:szCs w:val="24"/>
          <w:lang w:val="en-US" w:eastAsia="zh-CN"/>
        </w:rPr>
        <w:t>数量：3套；</w:t>
      </w:r>
    </w:p>
    <w:p w14:paraId="21A069FA">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2、万向吸气臂：吸气臂身铝合金材质；≥4节可调；带风量调节阀；吸气臂可360°旋转，旋转半径≥1000mm，任意位置旋停；吸气口直径≥75mm。</w:t>
      </w:r>
    </w:p>
    <w:p w14:paraId="5A964C20">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3、集气罩：透明亚克力材质，可以360°旋转，耐高温≥110℃，尺寸可根据实际工作需求选择，可用清水或洗涤剂擦洗。</w:t>
      </w:r>
    </w:p>
    <w:p w14:paraId="10B5B4A5">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4、安装支架：采用≥1.7mm厚，≥110mm*110mm铝合金方管。</w:t>
      </w:r>
    </w:p>
    <w:p w14:paraId="497C8E96">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5、安装底座：采用≥6mm的铁板。</w:t>
      </w:r>
    </w:p>
    <w:p w14:paraId="2188388F">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6、排烟管道材料：阻燃管道，通过QB/T1929-2006落锤冲击实验，材料符合UL94 V-2等级要求。</w:t>
      </w:r>
    </w:p>
    <w:p w14:paraId="628F8526">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7、电源线及控制线：采用国标阻燃电线。</w:t>
      </w:r>
    </w:p>
    <w:p w14:paraId="704E5CFD">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8、排风机；功率≥120W，风压≥600Pa，风量≥1200m³/h，噪音＜35db，≥3档风速调节。</w:t>
      </w:r>
    </w:p>
    <w:p w14:paraId="4ECA6F0C">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9、排风机具有过滤功能，能有效过滤艾灸烟气中的颗粒物质，对PM2.5颗粒物过滤效率≥99%。</w:t>
      </w:r>
    </w:p>
    <w:p w14:paraId="21B8F31E">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10、采用国标辅材吊装风管和固定排风机，并安装减震缓冲装置。</w:t>
      </w:r>
    </w:p>
    <w:p w14:paraId="016FC11C">
      <w:pPr>
        <w:spacing w:line="360" w:lineRule="auto"/>
        <w:rPr>
          <w:rFonts w:hint="eastAsia" w:ascii="宋体" w:hAnsi="宋体"/>
          <w:b/>
          <w:bCs/>
          <w:sz w:val="24"/>
        </w:rPr>
      </w:pPr>
    </w:p>
    <w:p w14:paraId="08D2C147">
      <w:pPr>
        <w:spacing w:line="360" w:lineRule="auto"/>
        <w:rPr>
          <w:rFonts w:ascii="宋体" w:hAnsi="宋体"/>
          <w:b/>
          <w:bCs/>
          <w:sz w:val="24"/>
        </w:rPr>
      </w:pPr>
      <w:r>
        <w:rPr>
          <w:rFonts w:hint="eastAsia" w:ascii="宋体" w:hAnsi="宋体"/>
          <w:b/>
          <w:bCs/>
          <w:sz w:val="24"/>
        </w:rPr>
        <w:t>二、商务要求</w:t>
      </w:r>
    </w:p>
    <w:p w14:paraId="618DF1BF">
      <w:pPr>
        <w:spacing w:line="360" w:lineRule="auto"/>
        <w:rPr>
          <w:rFonts w:ascii="宋体" w:hAnsi="宋体" w:cs="宋体"/>
          <w:sz w:val="24"/>
        </w:rPr>
      </w:pPr>
      <w:r>
        <w:rPr>
          <w:rFonts w:hint="eastAsia" w:ascii="宋体" w:hAnsi="宋体" w:cs="宋体"/>
          <w:sz w:val="24"/>
        </w:rPr>
        <w:t>1.特定资格</w:t>
      </w:r>
    </w:p>
    <w:p w14:paraId="61605447">
      <w:pPr>
        <w:spacing w:line="360" w:lineRule="auto"/>
        <w:ind w:firstLine="240" w:firstLineChars="100"/>
        <w:rPr>
          <w:rFonts w:ascii="宋体" w:hAnsi="宋体" w:cs="宋体"/>
          <w:sz w:val="24"/>
        </w:rPr>
      </w:pPr>
      <w:r>
        <w:rPr>
          <w:rFonts w:hint="eastAsia" w:ascii="宋体" w:hAnsi="宋体" w:cs="宋体"/>
          <w:sz w:val="24"/>
        </w:rPr>
        <w:t>1.1 供应商需具有医疗器械经营许可证或医疗器械经营备案凭证。</w:t>
      </w:r>
    </w:p>
    <w:p w14:paraId="6B9F93A5">
      <w:pPr>
        <w:spacing w:line="360" w:lineRule="auto"/>
        <w:ind w:firstLine="240" w:firstLineChars="100"/>
        <w:rPr>
          <w:rFonts w:ascii="宋体" w:hAnsi="宋体" w:cs="宋体"/>
          <w:sz w:val="24"/>
        </w:rPr>
      </w:pPr>
      <w:r>
        <w:rPr>
          <w:rFonts w:hint="eastAsia" w:ascii="宋体" w:hAnsi="宋体" w:cs="宋体"/>
          <w:sz w:val="24"/>
        </w:rPr>
        <w:t>1.2 投标产品具有医疗器械生产许可证、医疗器械产品注册证或医疗器械产品备案凭证。</w:t>
      </w:r>
    </w:p>
    <w:p w14:paraId="3829F495">
      <w:pPr>
        <w:spacing w:line="360" w:lineRule="auto"/>
        <w:rPr>
          <w:rFonts w:ascii="宋体" w:hAnsi="宋体" w:cs="宋体"/>
          <w:sz w:val="24"/>
        </w:rPr>
      </w:pPr>
      <w:r>
        <w:rPr>
          <w:rFonts w:hint="eastAsia" w:ascii="宋体" w:hAnsi="宋体" w:cs="宋体"/>
          <w:sz w:val="24"/>
        </w:rPr>
        <w:t>2.到货期：合同签订后</w:t>
      </w:r>
      <w:r>
        <w:rPr>
          <w:rFonts w:hint="eastAsia" w:ascii="宋体" w:hAnsi="宋体" w:cs="宋体"/>
          <w:b/>
          <w:bCs/>
          <w:color w:val="FF0000"/>
          <w:sz w:val="24"/>
        </w:rPr>
        <w:t>30日历天</w:t>
      </w:r>
    </w:p>
    <w:p w14:paraId="0ED35E1C">
      <w:pPr>
        <w:spacing w:line="360" w:lineRule="auto"/>
        <w:rPr>
          <w:rFonts w:hint="eastAsia" w:ascii="宋体" w:hAnsi="宋体" w:eastAsia="宋体" w:cs="宋体"/>
          <w:sz w:val="24"/>
          <w:lang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1D6CEB16">
      <w:pPr>
        <w:spacing w:line="360" w:lineRule="auto"/>
        <w:rPr>
          <w:rFonts w:ascii="宋体" w:hAnsi="宋体" w:cs="宋体"/>
          <w:sz w:val="24"/>
        </w:rPr>
      </w:pPr>
      <w:r>
        <w:rPr>
          <w:rFonts w:hint="eastAsia" w:ascii="宋体" w:hAnsi="宋体" w:cs="宋体"/>
          <w:sz w:val="24"/>
        </w:rPr>
        <w:t>4.质保期：</w:t>
      </w:r>
      <w:r>
        <w:rPr>
          <w:rFonts w:hint="eastAsia" w:ascii="宋体" w:hAnsi="宋体" w:cs="宋体"/>
          <w:b/>
          <w:bCs/>
          <w:color w:val="FF0000"/>
          <w:sz w:val="24"/>
        </w:rPr>
        <w:t>≥3年</w:t>
      </w:r>
      <w:r>
        <w:rPr>
          <w:rFonts w:hint="eastAsia" w:ascii="宋体" w:hAnsi="宋体" w:cs="宋体"/>
          <w:sz w:val="24"/>
        </w:rPr>
        <w:t>（供应商需明确具体年数）</w:t>
      </w:r>
    </w:p>
    <w:p w14:paraId="57F1EB35">
      <w:pPr>
        <w:spacing w:line="360" w:lineRule="auto"/>
        <w:rPr>
          <w:rFonts w:ascii="宋体" w:hAnsi="宋体" w:cs="宋体"/>
          <w:sz w:val="24"/>
        </w:rPr>
      </w:pPr>
      <w:r>
        <w:rPr>
          <w:rFonts w:hint="eastAsia" w:ascii="宋体" w:hAnsi="宋体" w:cs="宋体"/>
          <w:sz w:val="24"/>
        </w:rPr>
        <w:t>5.履约保证金：无</w:t>
      </w:r>
    </w:p>
    <w:p w14:paraId="549E45FF">
      <w:pPr>
        <w:spacing w:line="360" w:lineRule="auto"/>
        <w:rPr>
          <w:rFonts w:ascii="宋体" w:hAnsi="宋体" w:cs="宋体"/>
          <w:sz w:val="24"/>
        </w:rPr>
      </w:pPr>
      <w:r>
        <w:rPr>
          <w:rFonts w:hint="eastAsia" w:ascii="宋体" w:hAnsi="宋体" w:cs="宋体"/>
          <w:sz w:val="24"/>
        </w:rPr>
        <w:t>6.付款方式：</w:t>
      </w:r>
    </w:p>
    <w:p w14:paraId="47B8E044">
      <w:pPr>
        <w:spacing w:line="360" w:lineRule="auto"/>
        <w:ind w:firstLine="240" w:firstLineChars="100"/>
        <w:rPr>
          <w:rFonts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03ACEB8D">
      <w:pPr>
        <w:spacing w:line="360" w:lineRule="auto"/>
        <w:ind w:firstLine="240" w:firstLineChars="100"/>
        <w:rPr>
          <w:rFonts w:ascii="宋体" w:hAnsi="宋体" w:cs="宋体"/>
          <w:sz w:val="24"/>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货款于质保期满后，依据投标文件，所承诺的优惠条件、售后服务计划、培训计划等执行到位后，按规定程序办理支付手续，一次性付清。</w:t>
      </w:r>
    </w:p>
    <w:p w14:paraId="1A599202">
      <w:pPr>
        <w:spacing w:line="360" w:lineRule="auto"/>
        <w:rPr>
          <w:rFonts w:hint="eastAsia" w:asciiTheme="minorEastAsia" w:hAnsiTheme="minorEastAsia" w:eastAsiaTheme="minorEastAsia" w:cstheme="minorEastAsia"/>
          <w:color w:val="auto"/>
          <w:sz w:val="24"/>
          <w:szCs w:val="24"/>
          <w:lang w:eastAsia="zh-CN"/>
        </w:rPr>
      </w:pPr>
    </w:p>
    <w:p w14:paraId="5FE3EBAD">
      <w:pPr>
        <w:spacing w:line="360" w:lineRule="auto"/>
        <w:rPr>
          <w:rFonts w:hint="eastAsia" w:ascii="宋体" w:hAnsi="宋体" w:cs="宋体"/>
          <w:b/>
          <w:bCs/>
          <w:color w:val="auto"/>
          <w:sz w:val="24"/>
          <w:szCs w:val="24"/>
          <w:highlight w:val="none"/>
          <w:lang w:val="en-US" w:eastAsia="zh-CN"/>
        </w:rPr>
      </w:pPr>
    </w:p>
    <w:p w14:paraId="69ABD90E">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6E800062">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4559"/>
      <w:bookmarkStart w:id="13" w:name="_Toc11890"/>
      <w:bookmarkStart w:id="14" w:name="_Toc26111"/>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2024年度</w:t>
      </w:r>
      <w:r>
        <w:rPr>
          <w:rFonts w:hint="eastAsia" w:ascii="宋体" w:hAnsi="宋体"/>
          <w:color w:val="auto"/>
          <w:sz w:val="24"/>
          <w:highlight w:val="none"/>
        </w:rPr>
        <w:t>经会</w:t>
      </w:r>
      <w:r>
        <w:rPr>
          <w:rFonts w:hint="eastAsia" w:ascii="宋体" w:hAnsi="宋体"/>
          <w:color w:val="auto"/>
          <w:sz w:val="24"/>
        </w:rPr>
        <w:t>计师事务所或者审计机构审计的财务报告；</w:t>
      </w:r>
      <w:r>
        <w:rPr>
          <w:rFonts w:hint="eastAsia" w:ascii="微软雅黑" w:hAnsi="微软雅黑" w:eastAsia="微软雅黑" w:cs="微软雅黑"/>
          <w:color w:val="333333"/>
          <w:kern w:val="0"/>
          <w:sz w:val="24"/>
          <w:szCs w:val="24"/>
          <w:lang w:val="en-US" w:eastAsia="zh-CN" w:bidi="ar-SA"/>
        </w:rPr>
        <w:t>或基本开户银行出具的有效资信证明。</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19319"/>
      <w:bookmarkStart w:id="17"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none"/>
          <w:lang w:eastAsia="zh-CN"/>
        </w:rPr>
      </w:pPr>
    </w:p>
    <w:p w14:paraId="60854F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31C7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8322E6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3266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none"/>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highlight w:val="none"/>
        </w:rPr>
      </w:pPr>
      <w:r>
        <w:rPr>
          <w:rFonts w:hint="eastAsia" w:ascii="宋体" w:hAnsi="宋体"/>
          <w:bCs/>
          <w:sz w:val="24"/>
          <w:szCs w:val="24"/>
          <w:highlight w:val="none"/>
        </w:rPr>
        <w:t>项目名称：　　　</w:t>
      </w: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p>
    <w:p w14:paraId="1BF831C5">
      <w:pPr>
        <w:pStyle w:val="8"/>
        <w:spacing w:line="360" w:lineRule="auto"/>
        <w:ind w:firstLine="240" w:firstLineChars="100"/>
        <w:jc w:val="left"/>
        <w:rPr>
          <w:rFonts w:hint="eastAsia" w:ascii="宋体" w:hAnsi="宋体"/>
          <w:bCs/>
          <w:sz w:val="24"/>
          <w:szCs w:val="24"/>
          <w:highlight w:val="none"/>
          <w:lang w:eastAsia="zh-CN"/>
        </w:rPr>
      </w:pPr>
      <w:r>
        <w:rPr>
          <w:rFonts w:hint="eastAsia" w:ascii="宋体" w:hAnsi="宋体"/>
          <w:bCs/>
          <w:sz w:val="24"/>
          <w:szCs w:val="24"/>
          <w:highlight w:val="none"/>
        </w:rPr>
        <w:t xml:space="preserve">                                      </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金额单位：</w:t>
      </w:r>
      <w:r>
        <w:rPr>
          <w:rFonts w:hint="eastAsia" w:ascii="宋体" w:hAnsi="宋体"/>
          <w:bCs/>
          <w:sz w:val="24"/>
          <w:szCs w:val="24"/>
          <w:highlight w:val="none"/>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highlight w:val="none"/>
              </w:rPr>
            </w:pPr>
            <w:r>
              <w:rPr>
                <w:rFonts w:hint="eastAsia"/>
                <w:sz w:val="24"/>
                <w:szCs w:val="24"/>
                <w:highlight w:val="none"/>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highlight w:val="none"/>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highlight w:val="none"/>
              </w:rPr>
            </w:pPr>
          </w:p>
          <w:p w14:paraId="271FCC1D">
            <w:pPr>
              <w:tabs>
                <w:tab w:val="left" w:pos="926"/>
                <w:tab w:val="left" w:pos="4335"/>
                <w:tab w:val="left" w:pos="4515"/>
                <w:tab w:val="left" w:pos="7227"/>
              </w:tabs>
              <w:jc w:val="center"/>
              <w:rPr>
                <w:rFonts w:hint="eastAsia"/>
                <w:sz w:val="24"/>
                <w:szCs w:val="24"/>
                <w:highlight w:val="none"/>
              </w:rPr>
            </w:pPr>
            <w:r>
              <w:rPr>
                <w:rFonts w:hint="eastAsia"/>
                <w:sz w:val="24"/>
                <w:szCs w:val="24"/>
                <w:highlight w:val="none"/>
              </w:rPr>
              <w:t>总报价</w:t>
            </w:r>
          </w:p>
          <w:p w14:paraId="3D19D196">
            <w:pPr>
              <w:tabs>
                <w:tab w:val="left" w:pos="926"/>
                <w:tab w:val="left" w:pos="4335"/>
                <w:tab w:val="left" w:pos="4515"/>
                <w:tab w:val="left" w:pos="7227"/>
              </w:tabs>
              <w:ind w:left="-78"/>
              <w:jc w:val="center"/>
              <w:rPr>
                <w:rFonts w:hint="eastAsia"/>
                <w:sz w:val="24"/>
                <w:szCs w:val="24"/>
                <w:highlight w:val="none"/>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大写：</w:t>
            </w:r>
          </w:p>
          <w:p w14:paraId="37E26D8B">
            <w:pPr>
              <w:tabs>
                <w:tab w:val="left" w:pos="926"/>
                <w:tab w:val="left" w:pos="4335"/>
                <w:tab w:val="left" w:pos="4515"/>
                <w:tab w:val="left" w:pos="7227"/>
              </w:tabs>
              <w:ind w:firstLine="210" w:firstLineChars="100"/>
              <w:jc w:val="left"/>
              <w:rPr>
                <w:rFonts w:hint="eastAsia"/>
                <w:highlight w:val="none"/>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rPr>
                <w:highlight w:val="none"/>
              </w:rPr>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highlight w:val="none"/>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highlight w:val="none"/>
                <w:lang w:val="en-US" w:eastAsia="zh-CN"/>
              </w:rPr>
            </w:pPr>
            <w:r>
              <w:rPr>
                <w:rFonts w:hint="eastAsia"/>
                <w:sz w:val="24"/>
                <w:szCs w:val="24"/>
                <w:highlight w:val="none"/>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highlight w:val="none"/>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highlight w:val="none"/>
                <w:lang w:val="en-US" w:eastAsia="zh-CN"/>
              </w:rPr>
            </w:pPr>
            <w:r>
              <w:rPr>
                <w:rFonts w:hint="eastAsia"/>
                <w:sz w:val="24"/>
                <w:szCs w:val="24"/>
                <w:highlight w:val="none"/>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highlight w:val="none"/>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highlight w:val="none"/>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highlight w:val="none"/>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49642274"/>
      <w:bookmarkStart w:id="39" w:name="_Toc337554757"/>
      <w:bookmarkStart w:id="40" w:name="_Toc337475887"/>
      <w:bookmarkStart w:id="41"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765"/>
      <w:bookmarkStart w:id="52" w:name="_Toc337554798"/>
      <w:bookmarkStart w:id="53" w:name="_Toc320878714"/>
      <w:bookmarkStart w:id="54" w:name="_Toc337475928"/>
      <w:bookmarkStart w:id="55" w:name="_Toc349642319"/>
      <w:bookmarkStart w:id="56" w:name="_Toc28583"/>
      <w:bookmarkStart w:id="57" w:name="_Toc15867"/>
      <w:bookmarkStart w:id="58" w:name="_Toc12801"/>
      <w:bookmarkStart w:id="59" w:name="_Toc4599"/>
      <w:bookmarkStart w:id="60" w:name="_Toc304219331"/>
      <w:bookmarkStart w:id="61" w:name="_Toc29526"/>
      <w:bookmarkStart w:id="62" w:name="_Toc10750"/>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b/>
        <w:bCs/>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A64372"/>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5843BF3"/>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4FFC2132"/>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3E126F6"/>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CD765E0"/>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EC40C5"/>
    <w:rsid w:val="7AF34055"/>
    <w:rsid w:val="7B4C1855"/>
    <w:rsid w:val="7B8716DC"/>
    <w:rsid w:val="7BA777AA"/>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qFormat/>
    <w:uiPriority w:val="99"/>
    <w:pPr>
      <w:spacing w:line="400" w:lineRule="exact"/>
    </w:pPr>
  </w:style>
  <w:style w:type="paragraph" w:customStyle="1" w:styleId="15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0">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5697</Words>
  <Characters>5962</Characters>
  <Lines>315</Lines>
  <Paragraphs>88</Paragraphs>
  <TotalTime>8</TotalTime>
  <ScaleCrop>false</ScaleCrop>
  <LinksUpToDate>false</LinksUpToDate>
  <CharactersWithSpaces>6831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2025-09-29T02:33:34Z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FF69BF404DC240E48C7C22E9DDABFC4E_13</vt:lpwstr>
  </property>
  <property fmtid="{D5CDD505-2E9C-101B-9397-08002B2CF9AE}" pid="4" name="KSOTemplateDocerSaveRecord">
    <vt:lpwstr>eyJoZGlkIjoiMTUyMDA2ZjQ4N2YyNDAzZWJjY2U2NWNkZDY5ZDY4ZDAiLCJ1c2VySWQiOiIxNTkzMTM1MzcxIn0=</vt:lpwstr>
  </property>
</Properties>
</file>