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6BE72582">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医用智能艾灸排烟系统</w:t>
      </w:r>
    </w:p>
    <w:p w14:paraId="4198787D">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lang w:eastAsia="zh-CN"/>
        </w:rPr>
        <w:t>采购项目</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9"/>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rPr>
        <w:t>-</w:t>
      </w:r>
      <w:r>
        <w:rPr>
          <w:rFonts w:hint="eastAsia" w:ascii="宋体" w:hAnsi="宋体" w:cs="宋体"/>
          <w:b/>
          <w:sz w:val="32"/>
          <w:highlight w:val="none"/>
          <w:lang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091</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10</w:t>
      </w:r>
      <w:r>
        <w:rPr>
          <w:rFonts w:hint="eastAsia" w:ascii="宋体" w:hAnsi="宋体" w:cs="宋体"/>
          <w:b/>
          <w:sz w:val="30"/>
          <w:szCs w:val="30"/>
          <w:highlight w:val="none"/>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30C69788">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val="en-US" w:eastAsia="zh-CN"/>
        </w:rPr>
      </w:pPr>
      <w:r>
        <w:rPr>
          <w:rFonts w:hint="eastAsia" w:ascii="宋体" w:hAnsi="宋体"/>
          <w:b/>
          <w:sz w:val="28"/>
          <w:szCs w:val="28"/>
          <w:highlight w:val="none"/>
          <w:lang w:eastAsia="zh-CN"/>
        </w:rPr>
        <w:t>河南省胸科医院医用智能艾灸排烟系统采购项目</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河南省胸科医院医用智能艾灸排烟系统采购项目</w:t>
      </w:r>
      <w:r>
        <w:rPr>
          <w:rFonts w:hint="default" w:asciiTheme="minorEastAsia" w:hAnsiTheme="minorEastAsia" w:eastAsiaTheme="minorEastAsia" w:cstheme="minorEastAsia"/>
          <w:color w:val="333333"/>
          <w:sz w:val="24"/>
          <w:szCs w:val="24"/>
          <w:highlight w:val="none"/>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医用智能艾灸排烟系统</w:t>
      </w:r>
      <w:r>
        <w:rPr>
          <w:rFonts w:hint="eastAsia" w:asciiTheme="minorEastAsia" w:hAnsiTheme="minorEastAsia" w:eastAsiaTheme="minorEastAsia" w:cstheme="minorEastAsia"/>
          <w:color w:val="333333"/>
          <w:sz w:val="24"/>
          <w:szCs w:val="24"/>
          <w:highlight w:val="none"/>
          <w:lang w:val="en-US" w:eastAsia="zh-CN"/>
        </w:rPr>
        <w:t>3套</w:t>
      </w:r>
      <w:r>
        <w:rPr>
          <w:rFonts w:hint="default" w:asciiTheme="minorEastAsia" w:hAnsiTheme="minorEastAsia" w:eastAsiaTheme="minorEastAsia" w:cstheme="minorEastAsia"/>
          <w:color w:val="333333"/>
          <w:sz w:val="24"/>
          <w:szCs w:val="24"/>
          <w:highlight w:val="none"/>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7.5</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13</w:t>
      </w:r>
      <w:r>
        <w:rPr>
          <w:rFonts w:hint="default" w:asciiTheme="minorEastAsia" w:hAnsiTheme="minorEastAsia" w:eastAsiaTheme="minorEastAsia" w:cstheme="minorEastAsia"/>
          <w:color w:val="333333"/>
          <w:sz w:val="24"/>
          <w:szCs w:val="24"/>
          <w:highlight w:val="none"/>
        </w:rPr>
        <w:t>日，每</w:t>
      </w:r>
      <w:r>
        <w:rPr>
          <w:rFonts w:hint="default" w:asciiTheme="minorEastAsia" w:hAnsiTheme="minorEastAsia" w:eastAsiaTheme="minorEastAsia" w:cstheme="minorEastAsia"/>
          <w:color w:val="333333"/>
          <w:sz w:val="24"/>
          <w:szCs w:val="24"/>
        </w:rPr>
        <w:t>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4AE6AB0">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6E07A2C8">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3B509C1C">
      <w:pPr>
        <w:spacing w:line="36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rPr>
        <w:t>1、</w:t>
      </w:r>
      <w:r>
        <w:rPr>
          <w:rFonts w:hint="eastAsia" w:asciiTheme="minorEastAsia" w:hAnsiTheme="minorEastAsia" w:eastAsiaTheme="minorEastAsia" w:cstheme="minorEastAsia"/>
          <w:b w:val="0"/>
          <w:bCs w:val="0"/>
          <w:color w:val="auto"/>
          <w:sz w:val="24"/>
          <w:szCs w:val="24"/>
          <w:lang w:val="en-US" w:eastAsia="zh-CN"/>
        </w:rPr>
        <w:t>数量：3套；</w:t>
      </w:r>
    </w:p>
    <w:p w14:paraId="21A069FA">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2、万向吸气臂：吸气臂身铝合金材质；≥4节可调；带风量调节阀；吸气臂可360°旋转，旋转半径≥1000mm，任意位置旋停；吸气口直径≥75mm。</w:t>
      </w:r>
    </w:p>
    <w:p w14:paraId="5A964C20">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3、集气罩：透明亚克力材质，可以360°旋转，耐高温≥110℃，尺寸可根据实际工作需求选择，可用清水或洗涤剂擦洗。</w:t>
      </w:r>
    </w:p>
    <w:p w14:paraId="10B5B4A5">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4、安装支架：采用≥1.7mm厚，≥110mm*110mm铝合金方管。</w:t>
      </w:r>
    </w:p>
    <w:p w14:paraId="497C8E9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5、安装底座：采用≥6mm的铁板。</w:t>
      </w:r>
    </w:p>
    <w:p w14:paraId="2188388F">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6、排烟管道材料：阻燃管道，通过QB/T1929-2006落锤冲击实验，材料符合UL94 V-2等级要求。</w:t>
      </w:r>
    </w:p>
    <w:p w14:paraId="628F852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7、电源线及控制线：采用国标阻燃电线。</w:t>
      </w:r>
    </w:p>
    <w:p w14:paraId="704E5CFD">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8、排风机；功率≥120W，风压≥600Pa，风量≥1200m³/h，噪音＜35db，≥3档风速调节。</w:t>
      </w:r>
    </w:p>
    <w:p w14:paraId="4ECA6F0C">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9、排风机具有过滤功能，能有效过滤艾灸烟气中的颗粒物质，对PM2.5颗粒物过滤效率≥99%。</w:t>
      </w:r>
    </w:p>
    <w:p w14:paraId="21B8F31E">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10、采用国标辅材吊装风管和固定排风机，并安装减震缓冲装置。</w:t>
      </w:r>
    </w:p>
    <w:p w14:paraId="016FC11C">
      <w:pPr>
        <w:spacing w:line="360" w:lineRule="auto"/>
        <w:rPr>
          <w:rFonts w:hint="eastAsia" w:ascii="宋体" w:hAnsi="宋体"/>
          <w:b/>
          <w:bCs/>
          <w:sz w:val="24"/>
        </w:rPr>
      </w:pPr>
    </w:p>
    <w:p w14:paraId="08D2C147">
      <w:pPr>
        <w:spacing w:line="360" w:lineRule="auto"/>
        <w:rPr>
          <w:rFonts w:ascii="宋体" w:hAnsi="宋体"/>
          <w:b/>
          <w:bCs/>
          <w:sz w:val="24"/>
        </w:rPr>
      </w:pPr>
      <w:r>
        <w:rPr>
          <w:rFonts w:hint="eastAsia" w:ascii="宋体" w:hAnsi="宋体"/>
          <w:b/>
          <w:bCs/>
          <w:sz w:val="24"/>
        </w:rPr>
        <w:t>二、商务要求</w:t>
      </w:r>
    </w:p>
    <w:p w14:paraId="618DF1BF">
      <w:pPr>
        <w:spacing w:line="360" w:lineRule="auto"/>
        <w:rPr>
          <w:rFonts w:hint="eastAsia" w:ascii="宋体" w:hAnsi="宋体" w:cs="宋体" w:eastAsiaTheme="minorEastAsia"/>
          <w:sz w:val="24"/>
          <w:lang w:eastAsia="zh-CN"/>
        </w:rPr>
      </w:pPr>
      <w:r>
        <w:rPr>
          <w:rFonts w:hint="eastAsia" w:ascii="宋体" w:hAnsi="宋体" w:cs="宋体"/>
          <w:sz w:val="24"/>
        </w:rPr>
        <w:t>1.特定资格</w:t>
      </w:r>
      <w:r>
        <w:rPr>
          <w:rFonts w:hint="eastAsia" w:ascii="宋体" w:hAnsi="宋体" w:cs="宋体"/>
          <w:sz w:val="24"/>
          <w:lang w:eastAsia="zh-CN"/>
        </w:rPr>
        <w:t>：无</w:t>
      </w:r>
      <w:bookmarkStart w:id="67" w:name="_GoBack"/>
      <w:bookmarkEnd w:id="67"/>
    </w:p>
    <w:p w14:paraId="3829F495">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p>
    <w:p w14:paraId="0ED35E1C">
      <w:pPr>
        <w:spacing w:line="360" w:lineRule="auto"/>
        <w:rPr>
          <w:rFonts w:hint="eastAsia" w:ascii="宋体" w:hAnsi="宋体" w:eastAsia="宋体" w:cs="宋体"/>
          <w:sz w:val="24"/>
          <w:lang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1D6CEB16">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≥3年</w:t>
      </w:r>
      <w:r>
        <w:rPr>
          <w:rFonts w:hint="eastAsia" w:ascii="宋体" w:hAnsi="宋体" w:cs="宋体"/>
          <w:sz w:val="24"/>
        </w:rPr>
        <w:t>（供应商需明确具体年数）</w:t>
      </w:r>
    </w:p>
    <w:p w14:paraId="57F1EB35">
      <w:pPr>
        <w:spacing w:line="360" w:lineRule="auto"/>
        <w:rPr>
          <w:rFonts w:ascii="宋体" w:hAnsi="宋体" w:cs="宋体"/>
          <w:sz w:val="24"/>
        </w:rPr>
      </w:pPr>
      <w:r>
        <w:rPr>
          <w:rFonts w:hint="eastAsia" w:ascii="宋体" w:hAnsi="宋体" w:cs="宋体"/>
          <w:sz w:val="24"/>
        </w:rPr>
        <w:t>5.履约保证金：无</w:t>
      </w:r>
    </w:p>
    <w:p w14:paraId="549E45FF">
      <w:pPr>
        <w:spacing w:line="360" w:lineRule="auto"/>
        <w:rPr>
          <w:rFonts w:ascii="宋体" w:hAnsi="宋体" w:cs="宋体"/>
          <w:sz w:val="24"/>
        </w:rPr>
      </w:pPr>
      <w:r>
        <w:rPr>
          <w:rFonts w:hint="eastAsia" w:ascii="宋体" w:hAnsi="宋体" w:cs="宋体"/>
          <w:sz w:val="24"/>
        </w:rPr>
        <w:t>6.付款方式：</w:t>
      </w:r>
    </w:p>
    <w:p w14:paraId="47B8E044">
      <w:pPr>
        <w:spacing w:line="360" w:lineRule="auto"/>
        <w:ind w:firstLine="240" w:firstLineChars="100"/>
        <w:rPr>
          <w:rFonts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03ACEB8D">
      <w:pPr>
        <w:spacing w:line="360" w:lineRule="auto"/>
        <w:ind w:firstLine="240" w:firstLineChars="100"/>
        <w:rPr>
          <w:rFonts w:ascii="宋体" w:hAnsi="宋体" w:cs="宋体"/>
          <w:sz w:val="24"/>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货款于质保期满后，依据投标文件，所承诺的优惠条件、售后服务计划、培训计划等执行到位后，按规定程序办理支付手续，一次性付清。</w:t>
      </w:r>
    </w:p>
    <w:p w14:paraId="1A599202">
      <w:pPr>
        <w:spacing w:line="360" w:lineRule="auto"/>
        <w:rPr>
          <w:rFonts w:hint="eastAsia" w:asciiTheme="minorEastAsia" w:hAnsiTheme="minorEastAsia" w:eastAsiaTheme="minorEastAsia" w:cstheme="minorEastAsia"/>
          <w:color w:val="auto"/>
          <w:sz w:val="24"/>
          <w:szCs w:val="24"/>
          <w:lang w:eastAsia="zh-CN"/>
        </w:rPr>
      </w:pPr>
    </w:p>
    <w:p w14:paraId="5FE3EBAD">
      <w:pPr>
        <w:spacing w:line="360" w:lineRule="auto"/>
        <w:rPr>
          <w:rFonts w:hint="eastAsia" w:ascii="宋体" w:hAnsi="宋体" w:cs="宋体"/>
          <w:b/>
          <w:bCs/>
          <w:color w:val="auto"/>
          <w:sz w:val="24"/>
          <w:szCs w:val="24"/>
          <w:highlight w:val="none"/>
          <w:lang w:val="en-US" w:eastAsia="zh-CN"/>
        </w:rPr>
      </w:pPr>
    </w:p>
    <w:p w14:paraId="69ABD90E">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6E800062">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w:t>
      </w:r>
      <w:r>
        <w:rPr>
          <w:rFonts w:hint="eastAsia" w:ascii="宋体" w:hAnsi="宋体"/>
          <w:color w:val="auto"/>
          <w:sz w:val="24"/>
        </w:rPr>
        <w:t>计师事务所或者审计机构审计的财务报告；</w:t>
      </w:r>
      <w:r>
        <w:rPr>
          <w:rFonts w:hint="eastAsia" w:ascii="微软雅黑" w:hAnsi="微软雅黑" w:eastAsia="微软雅黑" w:cs="微软雅黑"/>
          <w:color w:val="333333"/>
          <w:kern w:val="0"/>
          <w:sz w:val="24"/>
          <w:szCs w:val="24"/>
          <w:lang w:val="en-US" w:eastAsia="zh-CN" w:bidi="ar-SA"/>
        </w:rPr>
        <w:t>或基本开户银行出具的有效资信证明。</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24403"/>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none"/>
          <w:lang w:eastAsia="zh-CN"/>
        </w:rPr>
      </w:pPr>
    </w:p>
    <w:p w14:paraId="60854F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31C7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8322E6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highlight w:val="none"/>
        </w:rPr>
      </w:pPr>
      <w:r>
        <w:rPr>
          <w:rFonts w:hint="eastAsia" w:ascii="宋体" w:hAnsi="宋体"/>
          <w:bCs/>
          <w:sz w:val="24"/>
          <w:szCs w:val="24"/>
          <w:highlight w:val="none"/>
        </w:rPr>
        <w:t>项目名称：　　　</w:t>
      </w: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p>
    <w:p w14:paraId="1BF831C5">
      <w:pPr>
        <w:pStyle w:val="8"/>
        <w:spacing w:line="360" w:lineRule="auto"/>
        <w:ind w:firstLine="240" w:firstLineChars="100"/>
        <w:jc w:val="left"/>
        <w:rPr>
          <w:rFonts w:hint="eastAsia" w:ascii="宋体" w:hAnsi="宋体"/>
          <w:bCs/>
          <w:sz w:val="24"/>
          <w:szCs w:val="24"/>
          <w:highlight w:val="none"/>
          <w:lang w:eastAsia="zh-CN"/>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金额单位：</w:t>
      </w:r>
      <w:r>
        <w:rPr>
          <w:rFonts w:hint="eastAsia" w:ascii="宋体" w:hAnsi="宋体"/>
          <w:bCs/>
          <w:sz w:val="24"/>
          <w:szCs w:val="24"/>
          <w:highlight w:val="none"/>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highlight w:val="none"/>
              </w:rPr>
            </w:pPr>
            <w:r>
              <w:rPr>
                <w:rFonts w:hint="eastAsia"/>
                <w:sz w:val="24"/>
                <w:szCs w:val="24"/>
                <w:highlight w:val="none"/>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highlight w:val="none"/>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highlight w:val="none"/>
              </w:rPr>
            </w:pPr>
          </w:p>
          <w:p w14:paraId="271FCC1D">
            <w:pPr>
              <w:tabs>
                <w:tab w:val="left" w:pos="926"/>
                <w:tab w:val="left" w:pos="4335"/>
                <w:tab w:val="left" w:pos="4515"/>
                <w:tab w:val="left" w:pos="7227"/>
              </w:tabs>
              <w:jc w:val="center"/>
              <w:rPr>
                <w:rFonts w:hint="eastAsia"/>
                <w:sz w:val="24"/>
                <w:szCs w:val="24"/>
                <w:highlight w:val="none"/>
              </w:rPr>
            </w:pPr>
            <w:r>
              <w:rPr>
                <w:rFonts w:hint="eastAsia"/>
                <w:sz w:val="24"/>
                <w:szCs w:val="24"/>
                <w:highlight w:val="none"/>
              </w:rPr>
              <w:t>总报价</w:t>
            </w:r>
          </w:p>
          <w:p w14:paraId="3D19D196">
            <w:pPr>
              <w:tabs>
                <w:tab w:val="left" w:pos="926"/>
                <w:tab w:val="left" w:pos="4335"/>
                <w:tab w:val="left" w:pos="4515"/>
                <w:tab w:val="left" w:pos="7227"/>
              </w:tabs>
              <w:ind w:left="-78"/>
              <w:jc w:val="center"/>
              <w:rPr>
                <w:rFonts w:hint="eastAsia"/>
                <w:sz w:val="24"/>
                <w:szCs w:val="24"/>
                <w:highlight w:val="none"/>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大写：</w:t>
            </w:r>
          </w:p>
          <w:p w14:paraId="37E26D8B">
            <w:pPr>
              <w:tabs>
                <w:tab w:val="left" w:pos="926"/>
                <w:tab w:val="left" w:pos="4335"/>
                <w:tab w:val="left" w:pos="4515"/>
                <w:tab w:val="left" w:pos="7227"/>
              </w:tabs>
              <w:ind w:firstLine="210" w:firstLineChars="100"/>
              <w:jc w:val="left"/>
              <w:rPr>
                <w:rFonts w:hint="eastAsia"/>
                <w:highlight w:val="none"/>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rPr>
                <w:highlight w:val="none"/>
              </w:rPr>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highlight w:val="none"/>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highlight w:val="none"/>
                <w:lang w:val="en-US" w:eastAsia="zh-CN"/>
              </w:rPr>
            </w:pPr>
            <w:r>
              <w:rPr>
                <w:rFonts w:hint="eastAsia"/>
                <w:sz w:val="24"/>
                <w:szCs w:val="24"/>
                <w:highlight w:val="none"/>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highlight w:val="none"/>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highlight w:val="none"/>
                <w:lang w:val="en-US" w:eastAsia="zh-CN"/>
              </w:rPr>
            </w:pPr>
            <w:r>
              <w:rPr>
                <w:rFonts w:hint="eastAsia"/>
                <w:sz w:val="24"/>
                <w:szCs w:val="24"/>
                <w:highlight w:val="none"/>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highlight w:val="none"/>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highlight w:val="none"/>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highlight w:val="none"/>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37475887"/>
      <w:bookmarkStart w:id="39" w:name="_Toc304219290"/>
      <w:bookmarkStart w:id="40" w:name="_Toc320878673"/>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12801"/>
      <w:bookmarkStart w:id="52" w:name="_Toc4599"/>
      <w:bookmarkStart w:id="53" w:name="_Toc337475928"/>
      <w:bookmarkStart w:id="54" w:name="_Toc349642319"/>
      <w:bookmarkStart w:id="55" w:name="_Toc304219331"/>
      <w:bookmarkStart w:id="56" w:name="_Toc15867"/>
      <w:bookmarkStart w:id="57" w:name="_Toc337554798"/>
      <w:bookmarkStart w:id="58" w:name="_Toc29526"/>
      <w:bookmarkStart w:id="59" w:name="_Toc320878714"/>
      <w:bookmarkStart w:id="60" w:name="_Toc28583"/>
      <w:bookmarkStart w:id="61" w:name="_Toc10750"/>
      <w:bookmarkStart w:id="62" w:name="_Toc30765"/>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b/>
        <w:bCs/>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A64372"/>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5843BF3"/>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5453509"/>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4FFC2132"/>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3E126F6"/>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CD765E0"/>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EC40C5"/>
    <w:rsid w:val="7AF34055"/>
    <w:rsid w:val="7B4C1855"/>
    <w:rsid w:val="7B8716DC"/>
    <w:rsid w:val="7BA777AA"/>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qFormat/>
    <w:uiPriority w:val="99"/>
    <w:pPr>
      <w:spacing w:line="400" w:lineRule="exact"/>
    </w:pPr>
  </w:style>
  <w:style w:type="paragraph" w:customStyle="1" w:styleId="15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0">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5697</Words>
  <Characters>5963</Characters>
  <Lines>315</Lines>
  <Paragraphs>88</Paragraphs>
  <TotalTime>8</TotalTime>
  <ScaleCrop>false</ScaleCrop>
  <LinksUpToDate>false</LinksUpToDate>
  <CharactersWithSpaces>6832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吕芳</cp:lastModifiedBy>
  <cp:lastPrinted>2022-03-04T01:40:00Z</cp:lastPrinted>
  <dcterms:modified xsi:type="dcterms:W3CDTF">2025-10-09T07:28:45Z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FF69BF404DC240E48C7C22E9DDABFC4E_13</vt:lpwstr>
  </property>
  <property fmtid="{D5CDD505-2E9C-101B-9397-08002B2CF9AE}" pid="4" name="KSOTemplateDocerSaveRecord">
    <vt:lpwstr>eyJoZGlkIjoiNDdiYzIwYzJkY2VlZTA0OGY0ZGI2YmQyZmFjZDk5NjQiLCJ1c2VySWQiOiIxNzM5Mjk3MTU3In0=</vt:lpwstr>
  </property>
</Properties>
</file>