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医用放大镜采购项目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025</w:t>
      </w:r>
      <w:r>
        <w:rPr>
          <w:rFonts w:hint="eastAsia" w:ascii="宋体" w:hAnsi="宋体" w:cs="宋体"/>
          <w:b/>
          <w:sz w:val="32"/>
          <w:highlight w:val="none"/>
        </w:rPr>
        <w:t>-</w:t>
      </w:r>
      <w:r>
        <w:rPr>
          <w:rFonts w:hint="eastAsia" w:ascii="宋体" w:hAnsi="宋体" w:cs="宋体"/>
          <w:b/>
          <w:sz w:val="32"/>
          <w:highlight w:val="none"/>
          <w:lang w:val="en-US" w:eastAsia="zh-CN"/>
        </w:rPr>
        <w:t>104</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2B93F59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河南省胸科医院医用放大镜采购项目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227994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B73A5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河南省胸科医院医用放大镜采购项目</w:t>
      </w:r>
      <w:r>
        <w:rPr>
          <w:rFonts w:hint="default" w:asciiTheme="minorEastAsia" w:hAnsiTheme="minorEastAsia" w:eastAsiaTheme="minorEastAsia" w:cstheme="minorEastAsia"/>
          <w:color w:val="333333"/>
          <w:sz w:val="24"/>
          <w:szCs w:val="24"/>
        </w:rPr>
        <w:t>。</w:t>
      </w:r>
    </w:p>
    <w:p w14:paraId="19EE3EC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347BF1B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医用放大镜</w:t>
      </w:r>
      <w:r>
        <w:rPr>
          <w:rFonts w:hint="default"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val="en-US" w:eastAsia="zh-CN"/>
        </w:rPr>
        <w:t>副</w:t>
      </w:r>
      <w:r>
        <w:rPr>
          <w:rFonts w:hint="default" w:asciiTheme="minorEastAsia" w:hAnsiTheme="minorEastAsia" w:eastAsiaTheme="minorEastAsia" w:cstheme="minorEastAsia"/>
          <w:color w:val="333333"/>
          <w:sz w:val="24"/>
          <w:szCs w:val="24"/>
        </w:rPr>
        <w:t>。</w:t>
      </w:r>
    </w:p>
    <w:p w14:paraId="776F02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F9693B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rPr>
        <w:t>万元。</w:t>
      </w:r>
    </w:p>
    <w:p w14:paraId="14C660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495B27C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3A4B5D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319A04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623061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68B8EE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713FBD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85F8A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5A0A80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5355A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5BF314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6B8BEF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55F136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5005F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1B6EA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0D795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27</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35FBC8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304D3B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4C7DC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D51E3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0D89FE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542872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8A134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12FF6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3CC39BB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5934ED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0C39D8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230D9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A3E80F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F2DCA0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000E87BA">
      <w:pPr>
        <w:numPr>
          <w:ilvl w:val="0"/>
          <w:numId w:val="2"/>
        </w:numPr>
        <w:spacing w:line="360" w:lineRule="auto"/>
        <w:rPr>
          <w:rFonts w:hint="default" w:ascii="宋体" w:hAnsi="宋体" w:eastAsia="宋体" w:cs="宋体"/>
          <w:sz w:val="24"/>
          <w:szCs w:val="24"/>
          <w:lang w:val="en-US"/>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13294481">
      <w:pPr>
        <w:numPr>
          <w:ilvl w:val="0"/>
          <w:numId w:val="3"/>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r>
        <w:rPr>
          <w:rFonts w:hint="eastAsia" w:ascii="宋体" w:hAnsi="宋体" w:eastAsia="宋体" w:cs="宋体"/>
          <w:sz w:val="24"/>
          <w:szCs w:val="24"/>
          <w:lang w:val="en-US" w:eastAsia="zh-CN"/>
        </w:rPr>
        <w:t>1副</w:t>
      </w:r>
    </w:p>
    <w:p w14:paraId="1CF61EFA">
      <w:pPr>
        <w:numPr>
          <w:ilvl w:val="0"/>
          <w:numId w:val="3"/>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放大倍数</w:t>
      </w:r>
      <w:r>
        <w:rPr>
          <w:rFonts w:hint="eastAsia" w:ascii="宋体" w:hAnsi="宋体" w:eastAsia="宋体" w:cs="宋体"/>
          <w:sz w:val="24"/>
          <w:szCs w:val="24"/>
        </w:rPr>
        <w:t>3.0倍</w:t>
      </w:r>
      <w:r>
        <w:rPr>
          <w:rFonts w:hint="eastAsia" w:ascii="宋体" w:hAnsi="宋体" w:eastAsia="宋体" w:cs="宋体"/>
          <w:sz w:val="24"/>
          <w:szCs w:val="24"/>
          <w:lang w:eastAsia="zh-CN"/>
        </w:rPr>
        <w:t>。</w:t>
      </w:r>
    </w:p>
    <w:p w14:paraId="08C05295">
      <w:pPr>
        <w:numPr>
          <w:ilvl w:val="0"/>
          <w:numId w:val="3"/>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全透光玻璃镜头，透光率≥99.99%。</w:t>
      </w:r>
    </w:p>
    <w:p w14:paraId="0117204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、景深≥180mm。</w:t>
      </w:r>
    </w:p>
    <w:p w14:paraId="3875A77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、视野≥100mm。</w:t>
      </w:r>
    </w:p>
    <w:p w14:paraId="6B9BA22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、钛金属框架，重量≤12克。</w:t>
      </w:r>
    </w:p>
    <w:p w14:paraId="3230328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、镜头重量≤22克。</w:t>
      </w:r>
    </w:p>
    <w:p w14:paraId="39F9ADE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、镜头完全防水，可水洗。</w:t>
      </w:r>
    </w:p>
    <w:p w14:paraId="45DB552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、镶嵌式订制结构、</w:t>
      </w:r>
      <w:r>
        <w:rPr>
          <w:rFonts w:hint="eastAsia" w:ascii="宋体" w:hAnsi="宋体" w:eastAsia="宋体" w:cs="宋体"/>
          <w:sz w:val="24"/>
          <w:szCs w:val="24"/>
          <w:lang w:val="en-US" w:eastAsia="zh-CN"/>
        </w:rPr>
        <w:t>多</w:t>
      </w:r>
      <w:r>
        <w:rPr>
          <w:rFonts w:hint="eastAsia" w:ascii="宋体" w:hAnsi="宋体" w:eastAsia="宋体" w:cs="宋体"/>
          <w:sz w:val="24"/>
          <w:szCs w:val="24"/>
        </w:rPr>
        <w:t>种配色可选</w:t>
      </w:r>
      <w:r>
        <w:rPr>
          <w:rFonts w:hint="eastAsia" w:ascii="宋体" w:hAnsi="宋体" w:eastAsia="宋体" w:cs="宋体"/>
          <w:sz w:val="24"/>
          <w:szCs w:val="24"/>
          <w:lang w:eastAsia="zh-CN"/>
        </w:rPr>
        <w:t>。</w:t>
      </w:r>
    </w:p>
    <w:p w14:paraId="1C2D081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、可塑型镜腿</w:t>
      </w:r>
      <w:r>
        <w:rPr>
          <w:rFonts w:hint="eastAsia" w:ascii="宋体" w:hAnsi="宋体" w:eastAsia="宋体" w:cs="宋体"/>
          <w:sz w:val="24"/>
          <w:szCs w:val="24"/>
          <w:lang w:eastAsia="zh-CN"/>
        </w:rPr>
        <w:t>。</w:t>
      </w:r>
    </w:p>
    <w:p w14:paraId="3702C37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11、防碎裂钛合金镜头保护壳。</w:t>
      </w:r>
    </w:p>
    <w:p w14:paraId="21837F0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12、配置清单：</w:t>
      </w:r>
    </w:p>
    <w:tbl>
      <w:tblPr>
        <w:tblStyle w:val="33"/>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3950"/>
        <w:gridCol w:w="2327"/>
      </w:tblGrid>
      <w:tr w14:paraId="2E6D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tcPr>
          <w:p w14:paraId="710BF130">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序号</w:t>
            </w:r>
          </w:p>
        </w:tc>
        <w:tc>
          <w:tcPr>
            <w:tcW w:w="2380" w:type="pct"/>
          </w:tcPr>
          <w:p w14:paraId="0ACD244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品名</w:t>
            </w:r>
          </w:p>
        </w:tc>
        <w:tc>
          <w:tcPr>
            <w:tcW w:w="1402" w:type="pct"/>
          </w:tcPr>
          <w:p w14:paraId="413B77B9">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数量</w:t>
            </w:r>
          </w:p>
        </w:tc>
      </w:tr>
      <w:tr w14:paraId="3F1F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tcPr>
          <w:p w14:paraId="440274EC">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p>
        </w:tc>
        <w:tc>
          <w:tcPr>
            <w:tcW w:w="2380" w:type="pct"/>
          </w:tcPr>
          <w:p w14:paraId="5998560E">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eastAsia="宋体" w:cs="宋体"/>
                <w:sz w:val="24"/>
                <w:szCs w:val="24"/>
                <w:lang w:val="en-US" w:eastAsia="zh-CN"/>
              </w:rPr>
              <w:t>放大镜</w:t>
            </w:r>
          </w:p>
        </w:tc>
        <w:tc>
          <w:tcPr>
            <w:tcW w:w="1402" w:type="pct"/>
          </w:tcPr>
          <w:p w14:paraId="4000ED5E">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1副</w:t>
            </w:r>
          </w:p>
        </w:tc>
      </w:tr>
      <w:tr w14:paraId="60E8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tcPr>
          <w:p w14:paraId="68A9E222">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w:t>
            </w:r>
          </w:p>
        </w:tc>
        <w:tc>
          <w:tcPr>
            <w:tcW w:w="2380" w:type="pct"/>
          </w:tcPr>
          <w:p w14:paraId="11DA32A4">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eastAsia="宋体" w:cs="宋体"/>
                <w:sz w:val="24"/>
                <w:szCs w:val="24"/>
                <w:lang w:val="en-US" w:eastAsia="zh-CN"/>
              </w:rPr>
              <w:t>加固稳定头绳</w:t>
            </w:r>
          </w:p>
        </w:tc>
        <w:tc>
          <w:tcPr>
            <w:tcW w:w="1402" w:type="pct"/>
          </w:tcPr>
          <w:p w14:paraId="3FDD9C9A">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1条</w:t>
            </w:r>
          </w:p>
        </w:tc>
      </w:tr>
      <w:tr w14:paraId="6F1A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tcPr>
          <w:p w14:paraId="4205ACBC">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w:t>
            </w:r>
          </w:p>
        </w:tc>
        <w:tc>
          <w:tcPr>
            <w:tcW w:w="2380" w:type="pct"/>
          </w:tcPr>
          <w:p w14:paraId="28C166F8">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sz w:val="24"/>
                <w:szCs w:val="24"/>
                <w:vertAlign w:val="baseline"/>
                <w:lang w:val="en-US" w:eastAsia="zh-CN"/>
              </w:rPr>
            </w:pPr>
            <w:r>
              <w:rPr>
                <w:rFonts w:hint="eastAsia" w:ascii="宋体" w:hAnsi="宋体" w:eastAsia="宋体" w:cs="宋体"/>
                <w:sz w:val="24"/>
                <w:szCs w:val="24"/>
                <w:lang w:val="en-US" w:eastAsia="zh-CN"/>
              </w:rPr>
              <w:t>存储手提包</w:t>
            </w:r>
          </w:p>
        </w:tc>
        <w:tc>
          <w:tcPr>
            <w:tcW w:w="1402" w:type="pct"/>
          </w:tcPr>
          <w:p w14:paraId="5F4D66D9">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1个</w:t>
            </w:r>
          </w:p>
        </w:tc>
      </w:tr>
      <w:tr w14:paraId="08B7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tcPr>
          <w:p w14:paraId="13344495">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c>
          <w:tcPr>
            <w:tcW w:w="2380" w:type="pct"/>
          </w:tcPr>
          <w:p w14:paraId="3984A308">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sz w:val="24"/>
                <w:szCs w:val="24"/>
                <w:vertAlign w:val="baseline"/>
                <w:lang w:val="en-US" w:eastAsia="zh-CN"/>
              </w:rPr>
            </w:pPr>
            <w:r>
              <w:rPr>
                <w:rFonts w:hint="eastAsia" w:ascii="宋体" w:hAnsi="宋体" w:eastAsia="宋体" w:cs="宋体"/>
                <w:sz w:val="24"/>
                <w:szCs w:val="24"/>
                <w:lang w:val="en-US" w:eastAsia="zh-CN"/>
              </w:rPr>
              <w:t>擦镜布</w:t>
            </w:r>
          </w:p>
        </w:tc>
        <w:tc>
          <w:tcPr>
            <w:tcW w:w="1402" w:type="pct"/>
          </w:tcPr>
          <w:p w14:paraId="49A2065B">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1块</w:t>
            </w:r>
          </w:p>
        </w:tc>
      </w:tr>
    </w:tbl>
    <w:p w14:paraId="48D20C34">
      <w:pPr>
        <w:spacing w:line="360" w:lineRule="auto"/>
        <w:rPr>
          <w:rFonts w:ascii="宋体" w:hAnsi="宋体"/>
          <w:b/>
          <w:bCs/>
          <w:sz w:val="24"/>
        </w:rPr>
      </w:pPr>
      <w:r>
        <w:rPr>
          <w:rFonts w:hint="eastAsia" w:ascii="宋体" w:hAnsi="宋体"/>
          <w:b/>
          <w:bCs/>
          <w:sz w:val="24"/>
        </w:rPr>
        <w:t>二、商务要求</w:t>
      </w:r>
    </w:p>
    <w:p w14:paraId="3BBB7214">
      <w:pPr>
        <w:spacing w:line="360" w:lineRule="auto"/>
        <w:rPr>
          <w:rFonts w:ascii="宋体" w:hAnsi="宋体" w:cs="宋体"/>
          <w:sz w:val="24"/>
        </w:rPr>
      </w:pPr>
      <w:r>
        <w:rPr>
          <w:rFonts w:hint="eastAsia" w:ascii="宋体" w:hAnsi="宋体" w:cs="宋体"/>
          <w:sz w:val="24"/>
        </w:rPr>
        <w:t>1.特定资格要求：</w:t>
      </w:r>
    </w:p>
    <w:p w14:paraId="0A824E3A">
      <w:pPr>
        <w:spacing w:line="360" w:lineRule="auto"/>
        <w:ind w:firstLine="240" w:firstLineChars="100"/>
        <w:rPr>
          <w:rFonts w:ascii="宋体" w:hAnsi="宋体" w:cs="宋体"/>
          <w:sz w:val="24"/>
        </w:rPr>
      </w:pPr>
      <w:r>
        <w:rPr>
          <w:rFonts w:hint="eastAsia" w:ascii="宋体" w:hAnsi="宋体" w:cs="宋体"/>
          <w:sz w:val="24"/>
        </w:rPr>
        <w:t>1.1 响应产品须具有医疗器械产品注册证或医疗器械产品备案凭证；</w:t>
      </w:r>
    </w:p>
    <w:p w14:paraId="6F050D1C">
      <w:pPr>
        <w:spacing w:line="360" w:lineRule="auto"/>
        <w:ind w:firstLine="240" w:firstLineChars="100"/>
        <w:rPr>
          <w:rFonts w:ascii="宋体" w:hAnsi="宋体" w:cs="宋体"/>
          <w:sz w:val="24"/>
        </w:rPr>
      </w:pPr>
      <w:r>
        <w:rPr>
          <w:rFonts w:hint="eastAsia" w:ascii="宋体" w:hAnsi="宋体" w:cs="宋体"/>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spacing w:line="360" w:lineRule="auto"/>
        <w:rPr>
          <w:rFonts w:ascii="宋体" w:hAnsi="宋体" w:cs="宋体"/>
          <w:b/>
          <w:bCs/>
          <w:color w:val="FF0000"/>
          <w:sz w:val="24"/>
        </w:rPr>
      </w:pPr>
      <w:r>
        <w:rPr>
          <w:rFonts w:hint="eastAsia" w:ascii="宋体" w:hAnsi="宋体" w:cs="宋体"/>
          <w:sz w:val="24"/>
        </w:rPr>
        <w:t>2.交货期：合同签订后</w:t>
      </w:r>
      <w:r>
        <w:rPr>
          <w:rFonts w:hint="eastAsia" w:ascii="宋体" w:hAnsi="宋体" w:cs="宋体"/>
          <w:b/>
          <w:bCs/>
          <w:color w:val="FF0000"/>
          <w:sz w:val="24"/>
          <w:lang w:val="en-US" w:eastAsia="zh-CN"/>
        </w:rPr>
        <w:t>60</w:t>
      </w:r>
      <w:r>
        <w:rPr>
          <w:rFonts w:hint="eastAsia" w:ascii="宋体" w:hAnsi="宋体" w:cs="宋体"/>
          <w:b/>
          <w:bCs/>
          <w:color w:val="FF0000"/>
          <w:sz w:val="24"/>
        </w:rPr>
        <w:t>日历天</w:t>
      </w:r>
    </w:p>
    <w:p w14:paraId="5A19145C">
      <w:pPr>
        <w:spacing w:line="360" w:lineRule="auto"/>
        <w:rPr>
          <w:rFonts w:hint="eastAsia" w:ascii="宋体" w:hAnsi="宋体" w:cs="宋体" w:eastAsiaTheme="minorEastAsia"/>
          <w:sz w:val="24"/>
          <w:lang w:val="en-US" w:eastAsia="zh-CN"/>
        </w:rPr>
      </w:pPr>
      <w:r>
        <w:rPr>
          <w:rFonts w:hint="eastAsia" w:ascii="宋体" w:hAnsi="宋体" w:cs="宋体"/>
          <w:bCs/>
          <w:sz w:val="24"/>
        </w:rPr>
        <w:t>3.是否接受进口产品</w:t>
      </w:r>
      <w:r>
        <w:rPr>
          <w:rFonts w:hint="eastAsia" w:ascii="宋体" w:hAnsi="宋体" w:cs="宋体"/>
          <w:b/>
          <w:bCs/>
          <w:color w:val="auto"/>
          <w:sz w:val="24"/>
        </w:rPr>
        <w:t>：</w:t>
      </w:r>
      <w:r>
        <w:rPr>
          <w:rFonts w:hint="eastAsia" w:ascii="宋体" w:hAnsi="宋体" w:cs="宋体"/>
          <w:b/>
          <w:bCs/>
          <w:color w:val="FF0000"/>
          <w:sz w:val="24"/>
          <w:lang w:val="en-US" w:eastAsia="zh-CN"/>
        </w:rPr>
        <w:t>是</w:t>
      </w:r>
    </w:p>
    <w:p w14:paraId="22C28A5F">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5</w:t>
      </w:r>
      <w:r>
        <w:rPr>
          <w:rFonts w:hint="eastAsia" w:ascii="宋体" w:hAnsi="宋体" w:cs="宋体"/>
          <w:b/>
          <w:bCs/>
          <w:color w:val="FF0000"/>
          <w:sz w:val="24"/>
        </w:rPr>
        <w:t>年</w:t>
      </w:r>
      <w:r>
        <w:rPr>
          <w:rFonts w:hint="eastAsia" w:ascii="宋体" w:hAnsi="宋体" w:cs="宋体"/>
          <w:sz w:val="24"/>
        </w:rPr>
        <w:t>（供应商需明确具体年数）</w:t>
      </w:r>
    </w:p>
    <w:p w14:paraId="23ADEC49">
      <w:pPr>
        <w:spacing w:line="360" w:lineRule="auto"/>
        <w:rPr>
          <w:rFonts w:hint="eastAsia" w:ascii="宋体" w:hAnsi="宋体" w:cs="宋体"/>
          <w:sz w:val="24"/>
        </w:rPr>
      </w:pPr>
      <w:r>
        <w:rPr>
          <w:rFonts w:hint="eastAsia" w:ascii="宋体" w:hAnsi="宋体" w:cs="宋体"/>
          <w:sz w:val="24"/>
        </w:rPr>
        <w:t>5.履约保证金：</w:t>
      </w:r>
    </w:p>
    <w:p w14:paraId="6C7F0FCB">
      <w:pPr>
        <w:spacing w:line="360" w:lineRule="auto"/>
        <w:ind w:firstLine="240" w:firstLineChars="100"/>
        <w:rPr>
          <w:rFonts w:hint="default" w:ascii="Arial" w:hAnsi="Arial" w:cs="Arial"/>
          <w:b/>
          <w:bCs/>
          <w:color w:val="FF0000"/>
          <w:sz w:val="24"/>
          <w:lang w:val="en-US" w:eastAsia="zh-CN"/>
        </w:rPr>
      </w:pPr>
      <w:r>
        <w:rPr>
          <w:rFonts w:hint="eastAsia" w:ascii="宋体" w:hAnsi="宋体" w:cs="宋体"/>
          <w:sz w:val="24"/>
          <w:lang w:val="en-US" w:eastAsia="zh-CN"/>
        </w:rPr>
        <w:t>5.1成交供应商</w:t>
      </w:r>
      <w:r>
        <w:rPr>
          <w:rFonts w:hint="eastAsia" w:ascii="宋体" w:hAnsi="宋体" w:cs="宋体"/>
          <w:sz w:val="24"/>
        </w:rPr>
        <w:t>在</w:t>
      </w:r>
      <w:r>
        <w:rPr>
          <w:rFonts w:hint="eastAsia" w:ascii="宋体" w:hAnsi="宋体" w:cs="宋体"/>
          <w:sz w:val="24"/>
          <w:lang w:val="en-US" w:eastAsia="zh-CN"/>
        </w:rPr>
        <w:t>结果公告</w:t>
      </w:r>
      <w:r>
        <w:rPr>
          <w:rFonts w:hint="eastAsia" w:ascii="宋体" w:hAnsi="宋体" w:cs="宋体"/>
          <w:sz w:val="24"/>
        </w:rPr>
        <w:t>发出后向采购人提交履约保证金，履约保证金的金额为合同总价的</w:t>
      </w:r>
      <w:r>
        <w:rPr>
          <w:rFonts w:hint="default" w:ascii="Arial" w:hAnsi="Arial" w:cs="Arial"/>
          <w:b/>
          <w:bCs/>
          <w:color w:val="FF0000"/>
          <w:sz w:val="24"/>
        </w:rPr>
        <w:t>5%</w:t>
      </w:r>
    </w:p>
    <w:p w14:paraId="753AE1FC">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5.2履约保证金缴纳的形式：银行转账；</w:t>
      </w:r>
    </w:p>
    <w:p w14:paraId="2DF0537C">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履约保证金接收账户：河南省胸科医院</w:t>
      </w:r>
    </w:p>
    <w:p w14:paraId="2E9EF517">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履约保证金接收账号：</w:t>
      </w:r>
      <w:r>
        <w:rPr>
          <w:rFonts w:hint="default" w:ascii="宋体" w:hAnsi="宋体" w:cs="宋体"/>
          <w:sz w:val="24"/>
          <w:lang w:val="en-US" w:eastAsia="zh-CN"/>
        </w:rPr>
        <w:t>7607 0157 4000 00953</w:t>
      </w:r>
    </w:p>
    <w:p w14:paraId="415D4EA3">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开户行：浦东发展银行郑州东明支行</w:t>
      </w:r>
    </w:p>
    <w:p w14:paraId="3C6F77C0">
      <w:pPr>
        <w:spacing w:line="360" w:lineRule="auto"/>
        <w:ind w:firstLine="240" w:firstLineChars="100"/>
        <w:rPr>
          <w:rFonts w:hint="eastAsia" w:ascii="宋体" w:hAnsi="宋体" w:cs="宋体"/>
          <w:sz w:val="24"/>
          <w:lang w:val="en-US" w:eastAsia="zh-CN"/>
        </w:rPr>
      </w:pPr>
      <w:bookmarkStart w:id="5" w:name="_Hlk39601241"/>
      <w:r>
        <w:rPr>
          <w:rFonts w:hint="eastAsia" w:ascii="宋体" w:hAnsi="宋体" w:cs="宋体"/>
          <w:sz w:val="24"/>
          <w:lang w:val="en-US" w:eastAsia="zh-CN"/>
        </w:rPr>
        <w:t>履约保证金于质保期满后，依据响应文件，所承诺的优惠条件、售后服务计划、培训计划等执行到位后，按规定程序办理支付手续，一次性付清。</w:t>
      </w:r>
      <w:bookmarkEnd w:id="5"/>
    </w:p>
    <w:p w14:paraId="03D1C295">
      <w:pPr>
        <w:numPr>
          <w:ilvl w:val="0"/>
          <w:numId w:val="0"/>
        </w:numPr>
        <w:spacing w:line="360" w:lineRule="auto"/>
        <w:rPr>
          <w:rFonts w:hint="eastAsia" w:ascii="宋体" w:hAnsi="宋体" w:cs="宋体"/>
          <w:sz w:val="24"/>
        </w:rPr>
      </w:pPr>
      <w:r>
        <w:rPr>
          <w:rFonts w:hint="eastAsia" w:ascii="宋体" w:hAnsi="宋体" w:cs="宋体" w:eastAsiaTheme="minorEastAsia"/>
          <w:kern w:val="2"/>
          <w:sz w:val="24"/>
          <w:szCs w:val="22"/>
          <w:lang w:val="en-US" w:eastAsia="zh-CN" w:bidi="ar-SA"/>
        </w:rPr>
        <w:t>6.</w:t>
      </w:r>
      <w:r>
        <w:rPr>
          <w:rFonts w:hint="eastAsia" w:ascii="宋体" w:hAnsi="宋体" w:cs="宋体"/>
          <w:sz w:val="24"/>
        </w:rPr>
        <w:t>付款方式：</w:t>
      </w:r>
    </w:p>
    <w:p w14:paraId="7539F9C4">
      <w:pPr>
        <w:spacing w:line="360" w:lineRule="auto"/>
      </w:pPr>
      <w:r>
        <w:rPr>
          <w:rFonts w:hint="eastAsia" w:ascii="宋体" w:hAnsi="宋体" w:cs="宋体"/>
          <w:sz w:val="24"/>
          <w:lang w:val="en-US" w:eastAsia="zh-CN"/>
        </w:rPr>
        <w:t>合同签订后，设备按期交付，使用运行正常，验收合格之后，采购人向成交供应商支付合同总价的</w:t>
      </w:r>
      <w:r>
        <w:rPr>
          <w:rFonts w:hint="default" w:ascii="Arial" w:hAnsi="Arial" w:cs="Arial"/>
          <w:b/>
          <w:bCs/>
          <w:color w:val="FF0000"/>
          <w:sz w:val="24"/>
          <w:lang w:val="en-US" w:eastAsia="zh-CN"/>
        </w:rPr>
        <w:t>100%</w:t>
      </w:r>
      <w:r>
        <w:rPr>
          <w:rFonts w:hint="eastAsia" w:ascii="宋体" w:hAnsi="宋体" w:cs="宋体"/>
          <w:sz w:val="24"/>
          <w:lang w:val="en-US" w:eastAsia="zh-CN"/>
        </w:rPr>
        <w:t>货款。成交人在接收货款前，应向采购人开具正规发票。</w:t>
      </w:r>
    </w:p>
    <w:p w14:paraId="43BF4453">
      <w:pPr>
        <w:rPr>
          <w:rFonts w:hint="eastAsia" w:asciiTheme="minorEastAsia" w:hAnsiTheme="minorEastAsia"/>
          <w:color w:val="auto"/>
          <w:sz w:val="32"/>
          <w:highlight w:val="none"/>
        </w:rPr>
      </w:pPr>
    </w:p>
    <w:p w14:paraId="10C38CF1">
      <w:pPr>
        <w:rPr>
          <w:rFonts w:hint="eastAsia" w:asciiTheme="minorEastAsia" w:hAnsiTheme="minorEastAsia"/>
          <w:color w:val="auto"/>
          <w:sz w:val="32"/>
          <w:highlight w:val="none"/>
        </w:rPr>
      </w:pPr>
    </w:p>
    <w:p w14:paraId="630E55CF">
      <w:pPr>
        <w:rPr>
          <w:rFonts w:hint="eastAsia" w:asciiTheme="minorEastAsia" w:hAnsiTheme="minorEastAsia"/>
          <w:color w:val="auto"/>
          <w:sz w:val="32"/>
          <w:highlight w:val="none"/>
        </w:rPr>
      </w:pPr>
    </w:p>
    <w:p w14:paraId="2B8A35D3">
      <w:pPr>
        <w:rPr>
          <w:rFonts w:hint="eastAsia" w:asciiTheme="minorEastAsia" w:hAnsiTheme="minorEastAsia"/>
          <w:color w:val="auto"/>
          <w:sz w:val="32"/>
          <w:highlight w:val="none"/>
        </w:rPr>
      </w:pPr>
    </w:p>
    <w:p w14:paraId="7CB91227">
      <w:pPr>
        <w:rPr>
          <w:rFonts w:hint="eastAsia" w:asciiTheme="minorEastAsia" w:hAnsiTheme="minorEastAsia"/>
          <w:color w:val="auto"/>
          <w:sz w:val="32"/>
          <w:highlight w:val="none"/>
        </w:rPr>
      </w:pPr>
    </w:p>
    <w:p w14:paraId="4E205D23">
      <w:pPr>
        <w:rPr>
          <w:rFonts w:hint="eastAsia" w:asciiTheme="minorEastAsia" w:hAnsiTheme="minorEastAsia"/>
          <w:color w:val="auto"/>
          <w:sz w:val="32"/>
          <w:highlight w:val="none"/>
        </w:rPr>
      </w:pPr>
    </w:p>
    <w:p w14:paraId="5052A005">
      <w:pPr>
        <w:rPr>
          <w:rFonts w:hint="eastAsia" w:asciiTheme="minorEastAsia" w:hAnsiTheme="minorEastAsia"/>
          <w:color w:val="auto"/>
          <w:sz w:val="32"/>
          <w:highlight w:val="none"/>
        </w:rPr>
      </w:pPr>
    </w:p>
    <w:p w14:paraId="02776D55">
      <w:pPr>
        <w:rPr>
          <w:rFonts w:hint="eastAsia" w:asciiTheme="minorEastAsia" w:hAnsiTheme="minorEastAsia"/>
          <w:color w:val="auto"/>
          <w:sz w:val="32"/>
          <w:highlight w:val="none"/>
        </w:rPr>
      </w:pPr>
      <w:bookmarkStart w:id="68" w:name="_GoBack"/>
      <w:bookmarkEnd w:id="68"/>
    </w:p>
    <w:p w14:paraId="66E59111">
      <w:pPr>
        <w:pStyle w:val="29"/>
        <w:rPr>
          <w:rFonts w:hint="eastAsia" w:asciiTheme="minorEastAsia" w:hAnsiTheme="minorEastAsia"/>
          <w:color w:val="auto"/>
          <w:sz w:val="32"/>
          <w:highlight w:val="none"/>
        </w:rPr>
      </w:pPr>
    </w:p>
    <w:p w14:paraId="3ED87F8E">
      <w:pPr>
        <w:rPr>
          <w:rFonts w:hint="eastAsia" w:asciiTheme="minorEastAsia" w:hAnsiTheme="minorEastAsia"/>
          <w:color w:val="auto"/>
          <w:sz w:val="32"/>
          <w:highlight w:val="none"/>
        </w:rPr>
      </w:pPr>
    </w:p>
    <w:p w14:paraId="4DD72A09">
      <w:pPr>
        <w:pStyle w:val="29"/>
        <w:rPr>
          <w:rFonts w:hint="eastAsia"/>
        </w:rPr>
      </w:pPr>
    </w:p>
    <w:p w14:paraId="05F2E135">
      <w:pPr>
        <w:pStyle w:val="2"/>
        <w:spacing w:before="0" w:after="0"/>
        <w:jc w:val="center"/>
        <w:rPr>
          <w:rFonts w:hint="eastAsia" w:asciiTheme="minorEastAsia" w:hAnsiTheme="minorEastAsia"/>
          <w:color w:val="auto"/>
          <w:sz w:val="32"/>
          <w:highlight w:val="none"/>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ind w:firstLine="2249" w:firstLineChars="800"/>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7" w:name="_Toc2479"/>
      <w:bookmarkStart w:id="8"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0" w:name="_资格证明文件"/>
      <w:bookmarkEnd w:id="10"/>
      <w:bookmarkStart w:id="11" w:name="_Toc10534"/>
      <w:bookmarkStart w:id="12" w:name="_Toc31029"/>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3" w:name="_Toc11890"/>
      <w:bookmarkStart w:id="14" w:name="_Toc26111"/>
      <w:bookmarkStart w:id="15"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4"/>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6" w:name="_Toc24403"/>
      <w:bookmarkStart w:id="17" w:name="_Toc19319"/>
      <w:bookmarkStart w:id="18"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9" w:name="_Toc10542"/>
      <w:bookmarkStart w:id="20" w:name="_Toc1972"/>
    </w:p>
    <w:p w14:paraId="00D5E89F">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2" w:name="_Toc31728"/>
      <w:bookmarkStart w:id="23" w:name="_Toc8953"/>
      <w:bookmarkStart w:id="24"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5"/>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5E0F17FF">
      <w:pPr>
        <w:pStyle w:val="4"/>
        <w:spacing w:before="0" w:after="0"/>
        <w:jc w:val="center"/>
        <w:rPr>
          <w:rFonts w:hint="default"/>
          <w:color w:val="auto"/>
          <w:sz w:val="28"/>
          <w:szCs w:val="36"/>
          <w:highlight w:val="none"/>
          <w:lang w:val="en-US" w:eastAsia="zh-CN"/>
        </w:rPr>
      </w:pPr>
      <w:bookmarkStart w:id="28" w:name="_Toc28259"/>
      <w:bookmarkStart w:id="29" w:name="_Toc24684"/>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11219"/>
      <w:bookmarkStart w:id="32" w:name="_Toc28112"/>
      <w:bookmarkStart w:id="33"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3"/>
    <w:p w14:paraId="1A578696">
      <w:pPr>
        <w:bidi w:val="0"/>
        <w:rPr>
          <w:rFonts w:hint="eastAsia"/>
          <w:lang w:eastAsia="zh-CN"/>
        </w:rPr>
      </w:pPr>
      <w:bookmarkStart w:id="34"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6" w:name="_Toc29119"/>
      <w:r>
        <w:rPr>
          <w:rFonts w:hint="eastAsia"/>
          <w:color w:val="auto"/>
          <w:sz w:val="28"/>
          <w:highlight w:val="none"/>
        </w:rPr>
        <w:t>第二部分商务、技术文件</w:t>
      </w:r>
      <w:bookmarkEnd w:id="36"/>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8" w:name="_Toc349642274"/>
      <w:bookmarkStart w:id="39" w:name="_Toc320878673"/>
      <w:bookmarkStart w:id="40" w:name="_Toc304219290"/>
      <w:bookmarkStart w:id="41" w:name="_Toc337475887"/>
      <w:bookmarkStart w:id="42"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1D0E35DB">
      <w:pPr>
        <w:pStyle w:val="29"/>
        <w:rPr>
          <w:rFonts w:hint="eastAsia"/>
        </w:rPr>
      </w:pPr>
    </w:p>
    <w:p w14:paraId="0BC51DB4">
      <w:pPr>
        <w:rPr>
          <w:rFonts w:hint="eastAsia"/>
        </w:rPr>
      </w:pPr>
    </w:p>
    <w:p w14:paraId="24ADBDE8">
      <w:pPr>
        <w:pStyle w:val="29"/>
        <w:rPr>
          <w:rFonts w:hint="eastAsia"/>
        </w:rPr>
      </w:pPr>
    </w:p>
    <w:p w14:paraId="66D9ED99">
      <w:pPr>
        <w:rPr>
          <w:rFonts w:hint="eastAsia"/>
        </w:rPr>
      </w:pPr>
    </w:p>
    <w:p w14:paraId="0FA02235">
      <w:pPr>
        <w:pStyle w:val="29"/>
        <w:rPr>
          <w:rFonts w:hint="eastAsia"/>
        </w:rPr>
      </w:pPr>
    </w:p>
    <w:p w14:paraId="64F4A5FB">
      <w:pPr>
        <w:rPr>
          <w:rFonts w:hint="eastAsia"/>
        </w:rPr>
      </w:pPr>
    </w:p>
    <w:p w14:paraId="682C5D96">
      <w:pPr>
        <w:pStyle w:val="29"/>
        <w:rPr>
          <w:rFonts w:hint="eastAsia"/>
        </w:rPr>
      </w:pPr>
    </w:p>
    <w:p w14:paraId="30936B94">
      <w:pPr>
        <w:rPr>
          <w:rFonts w:hint="eastAsia"/>
        </w:rPr>
      </w:pPr>
    </w:p>
    <w:p w14:paraId="058749B7">
      <w:pPr>
        <w:pStyle w:val="29"/>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6"/>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6" w:name="_Toc11982"/>
      <w:bookmarkStart w:id="47"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8" w:name="_Toc20496"/>
      <w:bookmarkStart w:id="49"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0" w:name="_Toc2922"/>
      <w:bookmarkStart w:id="51" w:name="_Toc4948"/>
      <w:bookmarkStart w:id="52" w:name="_Toc337475928"/>
      <w:bookmarkStart w:id="53" w:name="_Toc12801"/>
      <w:bookmarkStart w:id="54" w:name="_Toc29526"/>
      <w:bookmarkStart w:id="55" w:name="_Toc320878714"/>
      <w:bookmarkStart w:id="56" w:name="_Toc304219331"/>
      <w:bookmarkStart w:id="57" w:name="_Toc28583"/>
      <w:bookmarkStart w:id="58" w:name="_Toc337554798"/>
      <w:bookmarkStart w:id="59" w:name="_Toc10750"/>
      <w:bookmarkStart w:id="60" w:name="_Toc15867"/>
      <w:bookmarkStart w:id="61" w:name="_Toc349642319"/>
      <w:bookmarkStart w:id="62" w:name="_Toc4599"/>
      <w:bookmarkStart w:id="63" w:name="_Toc30765"/>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F41E25CB"/>
    <w:multiLevelType w:val="singleLevel"/>
    <w:tmpl w:val="F41E25CB"/>
    <w:lvl w:ilvl="0" w:tentative="0">
      <w:start w:val="1"/>
      <w:numFmt w:val="decimal"/>
      <w:suff w:val="nothing"/>
      <w:lvlText w:val="%1、"/>
      <w:lvlJc w:val="left"/>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60895EC"/>
    <w:multiLevelType w:val="singleLevel"/>
    <w:tmpl w:val="660895EC"/>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5FD4466"/>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3902CD"/>
    <w:rsid w:val="2A4F30EC"/>
    <w:rsid w:val="2A97027B"/>
    <w:rsid w:val="2A9B6D63"/>
    <w:rsid w:val="2ACB44D0"/>
    <w:rsid w:val="2B6A2231"/>
    <w:rsid w:val="2BB206EA"/>
    <w:rsid w:val="2D8D413C"/>
    <w:rsid w:val="2DD1787D"/>
    <w:rsid w:val="2ED620E1"/>
    <w:rsid w:val="2F197CDD"/>
    <w:rsid w:val="2FF06D60"/>
    <w:rsid w:val="302C1EE7"/>
    <w:rsid w:val="30364DFA"/>
    <w:rsid w:val="314C707A"/>
    <w:rsid w:val="31896E1D"/>
    <w:rsid w:val="31C2642D"/>
    <w:rsid w:val="31D852DB"/>
    <w:rsid w:val="31F12C79"/>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6254B"/>
    <w:rsid w:val="38D85137"/>
    <w:rsid w:val="392E069A"/>
    <w:rsid w:val="395F6BB3"/>
    <w:rsid w:val="39C624C4"/>
    <w:rsid w:val="3A17243E"/>
    <w:rsid w:val="3A3156EF"/>
    <w:rsid w:val="3A5A4D1C"/>
    <w:rsid w:val="3A707D5F"/>
    <w:rsid w:val="3A780B15"/>
    <w:rsid w:val="3A8835AE"/>
    <w:rsid w:val="3B110DBB"/>
    <w:rsid w:val="3B115B80"/>
    <w:rsid w:val="3B527E6A"/>
    <w:rsid w:val="3B9B22A1"/>
    <w:rsid w:val="3BE63254"/>
    <w:rsid w:val="3BF33F8C"/>
    <w:rsid w:val="3C012383"/>
    <w:rsid w:val="3C1F3ADE"/>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5C1183"/>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1F49D4"/>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2811</Words>
  <Characters>3019</Characters>
  <Lines>315</Lines>
  <Paragraphs>88</Paragraphs>
  <TotalTime>0</TotalTime>
  <ScaleCrop>false</ScaleCrop>
  <LinksUpToDate>false</LinksUpToDate>
  <CharactersWithSpaces>3175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2025-11-26T02:01:12Z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4787A804BA9E44119FC73BDBF49502A5_13</vt:lpwstr>
  </property>
  <property fmtid="{D5CDD505-2E9C-101B-9397-08002B2CF9AE}" pid="4" name="KSOTemplateDocerSaveRecord">
    <vt:lpwstr>eyJoZGlkIjoiMTUyMDA2ZjQ4N2YyNDAzZWJjY2U2NWNkZDY5ZDY4ZDAiLCJ1c2VySWQiOiIxNTkzMTM1MzcxIn0=</vt:lpwstr>
  </property>
</Properties>
</file>