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54D9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14:paraId="48111E3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14:paraId="7DCDD6D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资料清单</w:t>
      </w:r>
    </w:p>
    <w:p w14:paraId="696DD18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14:paraId="6F124FC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p>
    <w:p w14:paraId="6DA5BCCD">
      <w:pPr>
        <w:pStyle w:val="18"/>
        <w:numPr>
          <w:ilvl w:val="0"/>
          <w:numId w:val="0"/>
        </w:numPr>
        <w:spacing w:line="360" w:lineRule="auto"/>
        <w:ind w:leftChars="200"/>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auto"/>
          <w:sz w:val="24"/>
          <w:highlight w:val="none"/>
          <w:lang w:val="en-US" w:eastAsia="zh-CN"/>
        </w:rPr>
        <w:t>2024</w:t>
      </w:r>
      <w:r>
        <w:rPr>
          <w:rFonts w:hint="eastAsia" w:ascii="微软雅黑" w:hAnsi="微软雅黑" w:eastAsia="微软雅黑" w:cs="微软雅黑"/>
          <w:color w:val="333333"/>
          <w:kern w:val="0"/>
          <w:sz w:val="24"/>
          <w:szCs w:val="24"/>
          <w:lang w:val="en-US" w:eastAsia="zh-CN" w:bidi="ar-SA"/>
        </w:rPr>
        <w:t>年度经会计师事务所或者审计机构审计的财务报告；或基本开户银行</w:t>
      </w:r>
    </w:p>
    <w:p w14:paraId="3C9FF003">
      <w:pPr>
        <w:pStyle w:val="18"/>
        <w:numPr>
          <w:ilvl w:val="0"/>
          <w:numId w:val="0"/>
        </w:numPr>
        <w:spacing w:line="360" w:lineRule="auto"/>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kern w:val="0"/>
          <w:sz w:val="24"/>
          <w:szCs w:val="24"/>
          <w:lang w:val="en-US" w:eastAsia="zh-CN" w:bidi="ar-SA"/>
        </w:rPr>
        <w:t>出具的有效资信证明；</w:t>
      </w:r>
    </w:p>
    <w:p w14:paraId="2CDE7E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333333"/>
          <w:sz w:val="24"/>
          <w:szCs w:val="24"/>
        </w:rPr>
        <w:t>（4</w:t>
      </w:r>
      <w:r>
        <w:rPr>
          <w:rFonts w:hint="eastAsia" w:ascii="微软雅黑" w:hAnsi="微软雅黑" w:eastAsia="微软雅黑" w:cs="微软雅黑"/>
          <w:color w:val="333333"/>
          <w:kern w:val="0"/>
          <w:sz w:val="24"/>
          <w:szCs w:val="24"/>
          <w:lang w:val="en-US" w:eastAsia="zh-CN" w:bidi="ar-SA"/>
        </w:rPr>
        <w:t>）</w:t>
      </w:r>
      <w:r>
        <w:rPr>
          <w:rFonts w:hint="eastAsia" w:ascii="微软雅黑" w:hAnsi="微软雅黑" w:eastAsia="微软雅黑" w:cs="微软雅黑"/>
          <w:color w:val="333333"/>
          <w:sz w:val="24"/>
          <w:szCs w:val="24"/>
          <w:lang w:val="en-US" w:eastAsia="zh-CN"/>
        </w:rPr>
        <w:t>近一年内任</w:t>
      </w:r>
      <w:r>
        <w:rPr>
          <w:rFonts w:hint="eastAsia" w:ascii="微软雅黑" w:hAnsi="微软雅黑" w:eastAsia="微软雅黑" w:cs="微软雅黑"/>
          <w:color w:val="auto"/>
          <w:spacing w:val="7"/>
          <w:lang w:val="en-US" w:eastAsia="zh-CN"/>
        </w:rPr>
        <w:t>意一个月缴纳税收和社会保障资金的凭证；</w:t>
      </w:r>
    </w:p>
    <w:p w14:paraId="22C35C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（5）参加采购活动前三年内在经营活动中没有重大违法记录声明函；</w:t>
      </w:r>
    </w:p>
    <w:p w14:paraId="2D843F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（6）具有履行合同所需的设备和专业技术能力的承诺书；</w:t>
      </w:r>
    </w:p>
    <w:p w14:paraId="3BBDDF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（7）供应商对参加采购项目资料内容真实性负责的承诺函；</w:t>
      </w:r>
    </w:p>
    <w:p w14:paraId="16EFDC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（8）信用查询记录；</w:t>
      </w:r>
    </w:p>
    <w:p w14:paraId="798F66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color w:val="auto"/>
          <w:spacing w:val="7"/>
          <w:lang w:val="en-US" w:eastAsia="zh-CN"/>
        </w:rPr>
        <w:t>（9）特定资格：</w:t>
      </w:r>
      <w:bookmarkStart w:id="0" w:name="_GoBack"/>
      <w:bookmarkEnd w:id="0"/>
      <w:r>
        <w:rPr>
          <w:rFonts w:hint="eastAsia" w:asciiTheme="minorEastAsia" w:hAnsiTheme="minorEastAsia" w:eastAsiaTheme="minorEastAsia" w:cstheme="minorEastAsia"/>
          <w:color w:val="333333"/>
          <w:sz w:val="24"/>
          <w:szCs w:val="24"/>
          <w:lang w:eastAsia="zh-CN"/>
        </w:rPr>
        <w:t>响应人</w:t>
      </w:r>
      <w:r>
        <w:rPr>
          <w:rFonts w:hint="eastAsia" w:asciiTheme="minorEastAsia" w:hAnsiTheme="minorEastAsia" w:eastAsiaTheme="minorEastAsia" w:cstheme="minorEastAsia"/>
          <w:color w:val="333333"/>
          <w:sz w:val="24"/>
          <w:szCs w:val="24"/>
        </w:rPr>
        <w:t>拟派项目负责人须具有在投标企业注册的一级注册造价工程师证书，且具有副高级及以上职称（副高级及以上工程师或高级经济师），提供“全国建筑市场监管公共服务平台（四库一平台）http://jzsc.mohurd.gov.cn/home”显示的相关注册查询截图（截图须显示人员姓名、执业注册信息，如出现系统故障须提供系统查询故障截图、其他相关网站查询页），拟派项目负责人具有在投标企业缴纳养老保险的证明（提供在投标企业缴纳的养老保险证明或者网络查询打印件，在</w:t>
      </w:r>
      <w:r>
        <w:rPr>
          <w:rFonts w:hint="eastAsia" w:asciiTheme="minorEastAsia" w:hAnsiTheme="minorEastAsia" w:eastAsiaTheme="minorEastAsia" w:cstheme="minorEastAsia"/>
          <w:color w:val="333333"/>
          <w:sz w:val="24"/>
          <w:szCs w:val="24"/>
          <w:lang w:eastAsia="zh-CN"/>
        </w:rPr>
        <w:t>响应人</w:t>
      </w:r>
      <w:r>
        <w:rPr>
          <w:rFonts w:hint="eastAsia" w:asciiTheme="minorEastAsia" w:hAnsiTheme="minorEastAsia" w:eastAsiaTheme="minorEastAsia" w:cstheme="minorEastAsia"/>
          <w:color w:val="333333"/>
          <w:sz w:val="24"/>
          <w:szCs w:val="24"/>
        </w:rPr>
        <w:t>分支机构（非独立法人）缴纳的视同在本单位缴纳。如因相关政策原因未及时缴纳的，需同时提供已缴纳的最近一个月社保证明及政府部门发布的相关政策文件</w:t>
      </w:r>
    </w:p>
    <w:p w14:paraId="31FC820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14:paraId="2DDBAB3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7"/>
          <w:rFonts w:hint="eastAsia" w:ascii="微软雅黑" w:hAnsi="微软雅黑" w:eastAsia="微软雅黑" w:cs="微软雅黑"/>
          <w:b/>
          <w:bCs/>
          <w:color w:val="333333"/>
          <w:sz w:val="24"/>
          <w:szCs w:val="24"/>
          <w:lang w:val="en-US" w:eastAsia="zh-CN"/>
        </w:rPr>
      </w:pPr>
      <w:r>
        <w:rPr>
          <w:rStyle w:val="17"/>
          <w:rFonts w:hint="eastAsia" w:ascii="微软雅黑" w:hAnsi="微软雅黑" w:eastAsia="微软雅黑" w:cs="微软雅黑"/>
          <w:b/>
          <w:bCs/>
          <w:color w:val="333333"/>
          <w:sz w:val="24"/>
          <w:szCs w:val="24"/>
          <w:lang w:val="en-US" w:eastAsia="zh-CN"/>
        </w:rPr>
        <w:fldChar w:fldCharType="begin"/>
      </w:r>
      <w:r>
        <w:rPr>
          <w:rStyle w:val="17"/>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7"/>
          <w:rFonts w:hint="eastAsia" w:ascii="微软雅黑" w:hAnsi="微软雅黑" w:eastAsia="微软雅黑" w:cs="微软雅黑"/>
          <w:b/>
          <w:bCs/>
          <w:color w:val="333333"/>
          <w:sz w:val="24"/>
          <w:szCs w:val="24"/>
          <w:lang w:val="en-US" w:eastAsia="zh-CN"/>
        </w:rPr>
        <w:fldChar w:fldCharType="separate"/>
      </w:r>
      <w:r>
        <w:rPr>
          <w:rStyle w:val="17"/>
          <w:rFonts w:hint="eastAsia" w:ascii="微软雅黑" w:hAnsi="微软雅黑" w:eastAsia="微软雅黑" w:cs="微软雅黑"/>
          <w:b/>
          <w:bCs/>
          <w:color w:val="333333"/>
          <w:sz w:val="24"/>
          <w:szCs w:val="24"/>
          <w:lang w:val="en-US" w:eastAsia="zh-CN"/>
        </w:rPr>
        <w:t>1.全部资料纸质版并加盖公章，扫描PDF版发到邮箱zbb65662712@163.com。</w:t>
      </w:r>
      <w:r>
        <w:rPr>
          <w:rStyle w:val="17"/>
          <w:rFonts w:hint="eastAsia" w:ascii="微软雅黑" w:hAnsi="微软雅黑" w:eastAsia="微软雅黑" w:cs="微软雅黑"/>
          <w:b/>
          <w:bCs/>
          <w:color w:val="333333"/>
          <w:sz w:val="24"/>
          <w:szCs w:val="24"/>
          <w:lang w:val="en-US" w:eastAsia="zh-CN"/>
        </w:rPr>
        <w:fldChar w:fldCharType="end"/>
      </w:r>
    </w:p>
    <w:p w14:paraId="6CBE337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7"/>
          <w:rFonts w:hint="eastAsia" w:ascii="微软雅黑" w:hAnsi="微软雅黑" w:eastAsia="微软雅黑" w:cs="微软雅黑"/>
          <w:b/>
          <w:bCs/>
          <w:color w:val="333333"/>
          <w:sz w:val="24"/>
          <w:szCs w:val="24"/>
          <w:lang w:val="en-US" w:eastAsia="zh-CN"/>
        </w:rPr>
      </w:pPr>
      <w:r>
        <w:rPr>
          <w:rStyle w:val="17"/>
          <w:rFonts w:hint="eastAsia" w:ascii="微软雅黑" w:hAnsi="微软雅黑" w:eastAsia="微软雅黑" w:cs="微软雅黑"/>
          <w:b/>
          <w:bCs/>
          <w:color w:val="333333"/>
          <w:sz w:val="24"/>
          <w:szCs w:val="24"/>
          <w:lang w:val="en-US" w:eastAsia="zh-CN"/>
        </w:rPr>
        <w:t>2.供应商应保证其提供资料的真实性、有效性，一经发现有提供虚假材料者，采购人有权取消其响应资格。</w:t>
      </w:r>
    </w:p>
    <w:p w14:paraId="098308C5">
      <w:pPr>
        <w:rPr>
          <w:rFonts w:hint="eastAsia"/>
          <w:lang w:val="en-US" w:eastAsia="zh-CN"/>
        </w:rPr>
      </w:pPr>
    </w:p>
    <w:p w14:paraId="02E229DD">
      <w:pPr>
        <w:rPr>
          <w:rFonts w:hint="eastAsia"/>
          <w:lang w:val="en-US" w:eastAsia="zh-CN"/>
        </w:rPr>
      </w:pPr>
    </w:p>
    <w:p w14:paraId="35A0FBAD">
      <w:pPr>
        <w:rPr>
          <w:rFonts w:hint="eastAsia"/>
          <w:sz w:val="32"/>
          <w:szCs w:val="40"/>
          <w:lang w:val="en-US" w:eastAsia="zh-CN"/>
        </w:rPr>
      </w:pPr>
    </w:p>
    <w:p w14:paraId="7EA046F0">
      <w:pPr>
        <w:rPr>
          <w:rStyle w:val="17"/>
          <w:rFonts w:hint="eastAsia" w:ascii="微软雅黑" w:hAnsi="微软雅黑" w:eastAsia="微软雅黑" w:cs="微软雅黑"/>
          <w:b/>
          <w:bCs/>
          <w:color w:val="333333"/>
          <w:sz w:val="24"/>
          <w:szCs w:val="24"/>
          <w:lang w:val="en-US" w:eastAsia="zh-CN"/>
        </w:rPr>
      </w:pPr>
      <w:r>
        <w:rPr>
          <w:rStyle w:val="17"/>
          <w:rFonts w:hint="eastAsia" w:ascii="微软雅黑" w:hAnsi="微软雅黑" w:eastAsia="微软雅黑" w:cs="微软雅黑"/>
          <w:b/>
          <w:bCs/>
          <w:color w:val="333333"/>
          <w:sz w:val="24"/>
          <w:szCs w:val="24"/>
          <w:lang w:val="en-US" w:eastAsia="zh-CN"/>
        </w:rPr>
        <w:br w:type="page"/>
      </w:r>
    </w:p>
    <w:p w14:paraId="5F44126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Style w:val="17"/>
          <w:rFonts w:hint="eastAsia" w:ascii="微软雅黑" w:hAnsi="微软雅黑" w:eastAsia="微软雅黑" w:cs="微软雅黑"/>
          <w:b/>
          <w:bCs/>
          <w:color w:val="333333"/>
          <w:sz w:val="24"/>
          <w:szCs w:val="24"/>
          <w:lang w:val="en-US" w:eastAsia="zh-CN"/>
        </w:rPr>
      </w:pPr>
    </w:p>
    <w:p w14:paraId="270B87C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发送电子邮件详细方式</w:t>
      </w:r>
    </w:p>
    <w:p w14:paraId="2EFA21B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14:paraId="2928CA6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14:paraId="520F6A5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7"/>
          <w:rFonts w:hint="eastAsia" w:cs="宋体"/>
          <w:color w:val="333333"/>
          <w:sz w:val="28"/>
          <w:szCs w:val="28"/>
          <w:highlight w:val="none"/>
          <w:u w:val="single"/>
          <w:lang w:val="en-US" w:eastAsia="zh-CN"/>
        </w:rPr>
        <w:t>(资料清单</w:t>
      </w:r>
      <w:r>
        <w:rPr>
          <w:rStyle w:val="17"/>
          <w:rFonts w:hint="eastAsia" w:ascii="宋体" w:hAnsi="宋体" w:eastAsia="宋体" w:cs="宋体"/>
          <w:b/>
          <w:bCs/>
          <w:color w:val="333333"/>
          <w:sz w:val="28"/>
          <w:szCs w:val="28"/>
          <w:u w:val="single"/>
          <w:lang w:val="en-US" w:eastAsia="zh-CN"/>
        </w:rPr>
        <w:t>PDF</w:t>
      </w:r>
      <w:r>
        <w:rPr>
          <w:rStyle w:val="17"/>
          <w:rFonts w:hint="eastAsia" w:ascii="宋体" w:hAnsi="宋体" w:eastAsia="宋体" w:cs="宋体"/>
          <w:color w:val="333333"/>
          <w:sz w:val="28"/>
          <w:szCs w:val="28"/>
          <w:u w:val="single"/>
          <w:lang w:val="en-US" w:eastAsia="zh-CN"/>
        </w:rPr>
        <w:t>）</w:t>
      </w:r>
      <w:r>
        <w:rPr>
          <w:rStyle w:val="17"/>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14:paraId="27EC721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14:paraId="7540EEE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14:paraId="7D9809A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14:paraId="4D0A35E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14:paraId="70D6E4E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14:paraId="061A955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14:paraId="6CF951B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14:paraId="74009E2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7"/>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14:paraId="6282A69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14:paraId="472C0D7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14:paraId="5FFC30F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14:paraId="3C2854B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p>
    <w:p w14:paraId="735EFB0F">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anchor distT="0" distB="0" distL="114935" distR="114935" simplePos="0" relativeHeight="251660288" behindDoc="0" locked="0" layoutInCell="1" allowOverlap="1">
            <wp:simplePos x="0" y="0"/>
            <wp:positionH relativeFrom="column">
              <wp:posOffset>-342900</wp:posOffset>
            </wp:positionH>
            <wp:positionV relativeFrom="paragraph">
              <wp:posOffset>2540</wp:posOffset>
            </wp:positionV>
            <wp:extent cx="6439535" cy="3580765"/>
            <wp:effectExtent l="9525" t="9525" r="27940"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r="6809" b="5971"/>
                    <a:stretch>
                      <a:fillRect/>
                    </a:stretch>
                  </pic:blipFill>
                  <pic:spPr>
                    <a:xfrm>
                      <a:off x="0" y="0"/>
                      <a:ext cx="6439535" cy="3580765"/>
                    </a:xfrm>
                    <a:prstGeom prst="rect">
                      <a:avLst/>
                    </a:prstGeom>
                    <a:noFill/>
                    <a:ln>
                      <a:solidFill>
                        <a:schemeClr val="tx1"/>
                      </a:solidFill>
                    </a:ln>
                  </pic:spPr>
                </pic:pic>
              </a:graphicData>
            </a:graphic>
          </wp:anchor>
        </w:drawing>
      </w:r>
    </w:p>
    <w:p w14:paraId="678169A3">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14:paraId="630A9ABB">
      <w:pPr>
        <w:rPr>
          <w:rFonts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br w:type="page"/>
      </w:r>
      <w:r>
        <w:rPr>
          <w:sz w:val="21"/>
        </w:rPr>
        <mc:AlternateContent>
          <mc:Choice Requires="wps">
            <w:drawing>
              <wp:anchor distT="0" distB="0" distL="114300" distR="114300" simplePos="0" relativeHeight="251664384" behindDoc="0" locked="0" layoutInCell="1" allowOverlap="1">
                <wp:simplePos x="0" y="0"/>
                <wp:positionH relativeFrom="column">
                  <wp:posOffset>-80645</wp:posOffset>
                </wp:positionH>
                <wp:positionV relativeFrom="paragraph">
                  <wp:posOffset>-23495</wp:posOffset>
                </wp:positionV>
                <wp:extent cx="5981700" cy="7362190"/>
                <wp:effectExtent l="28575" t="28575" r="28575" b="38735"/>
                <wp:wrapNone/>
                <wp:docPr id="6" name="文本框 6"/>
                <wp:cNvGraphicFramePr/>
                <a:graphic xmlns:a="http://schemas.openxmlformats.org/drawingml/2006/main">
                  <a:graphicData uri="http://schemas.microsoft.com/office/word/2010/wordprocessingShape">
                    <wps:wsp>
                      <wps:cNvSpPr txBox="1"/>
                      <wps:spPr>
                        <a:xfrm>
                          <a:off x="0" y="0"/>
                          <a:ext cx="5981700" cy="7362190"/>
                        </a:xfrm>
                        <a:prstGeom prst="rect">
                          <a:avLst/>
                        </a:prstGeom>
                        <a:solidFill>
                          <a:schemeClr val="lt1"/>
                        </a:solidFill>
                        <a:ln w="57150">
                          <a:solidFill>
                            <a:schemeClr val="tx1">
                              <a:lumMod val="95000"/>
                              <a:lumOff val="5000"/>
                            </a:schemeClr>
                          </a:solidFill>
                        </a:ln>
                      </wps:spPr>
                      <wps:style>
                        <a:lnRef idx="0">
                          <a:schemeClr val="accent1"/>
                        </a:lnRef>
                        <a:fillRef idx="0">
                          <a:schemeClr val="accent1"/>
                        </a:fillRef>
                        <a:effectRef idx="0">
                          <a:schemeClr val="accent1"/>
                        </a:effectRef>
                        <a:fontRef idx="minor">
                          <a:schemeClr val="dk1"/>
                        </a:fontRef>
                      </wps:style>
                      <wps:txbx>
                        <w:txbxContent>
                          <w:p w14:paraId="15F08F52">
                            <w:pPr>
                              <w:pStyle w:val="3"/>
                            </w:pPr>
                          </w:p>
                          <w:p w14:paraId="09FC003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w:t>
                            </w:r>
                            <w:r>
                              <w:rPr>
                                <w:rFonts w:hint="eastAsia" w:cs="宋体"/>
                                <w:color w:val="333333"/>
                                <w:kern w:val="0"/>
                                <w:sz w:val="28"/>
                                <w:szCs w:val="28"/>
                                <w:u w:val="none"/>
                                <w:lang w:val="en-US" w:eastAsia="zh-CN" w:bidi="ar"/>
                              </w:rPr>
                              <w:t>三</w:t>
                            </w:r>
                            <w:r>
                              <w:rPr>
                                <w:rFonts w:hint="eastAsia" w:ascii="宋体" w:hAnsi="宋体" w:eastAsia="宋体" w:cs="宋体"/>
                                <w:color w:val="333333"/>
                                <w:kern w:val="0"/>
                                <w:sz w:val="28"/>
                                <w:szCs w:val="28"/>
                                <w:u w:val="none"/>
                                <w:lang w:val="en-US" w:eastAsia="zh-CN" w:bidi="ar"/>
                              </w:rPr>
                              <w:t>步：</w:t>
                            </w:r>
                          </w:p>
                          <w:p w14:paraId="00A65FA6">
                            <w:pPr>
                              <w:pStyle w:val="11"/>
                              <w:rPr>
                                <w:rFonts w:hint="eastAsia"/>
                                <w:sz w:val="32"/>
                                <w:szCs w:val="40"/>
                                <w:lang w:val="en-US" w:eastAsia="zh-CN"/>
                              </w:rPr>
                            </w:pPr>
                          </w:p>
                          <w:p w14:paraId="4EC5091F">
                            <w:pPr>
                              <w:pStyle w:val="11"/>
                              <w:rPr>
                                <w:rFonts w:hint="eastAsia"/>
                                <w:b w:val="0"/>
                                <w:bCs w:val="0"/>
                                <w:sz w:val="32"/>
                                <w:szCs w:val="40"/>
                                <w:lang w:val="en-US" w:eastAsia="zh-CN"/>
                              </w:rPr>
                            </w:pPr>
                            <w:r>
                              <w:rPr>
                                <w:rFonts w:hint="eastAsia"/>
                                <w:sz w:val="32"/>
                                <w:szCs w:val="40"/>
                                <w:lang w:val="en-US" w:eastAsia="zh-CN"/>
                              </w:rPr>
                              <w:t>注意：</w:t>
                            </w:r>
                            <w:r>
                              <w:rPr>
                                <w:rFonts w:hint="eastAsia"/>
                                <w:sz w:val="32"/>
                                <w:szCs w:val="40"/>
                              </w:rPr>
                              <w:t>发送</w:t>
                            </w:r>
                            <w:r>
                              <w:rPr>
                                <w:rFonts w:hint="eastAsia"/>
                                <w:b/>
                                <w:bCs/>
                                <w:sz w:val="32"/>
                                <w:szCs w:val="40"/>
                              </w:rPr>
                              <w:t>资料</w:t>
                            </w:r>
                            <w:r>
                              <w:rPr>
                                <w:rFonts w:hint="eastAsia"/>
                                <w:b/>
                                <w:bCs/>
                                <w:sz w:val="32"/>
                                <w:szCs w:val="40"/>
                                <w:lang w:val="en-US" w:eastAsia="zh-CN"/>
                              </w:rPr>
                              <w:t>清单</w:t>
                            </w:r>
                            <w:r>
                              <w:rPr>
                                <w:rFonts w:hint="eastAsia"/>
                                <w:b w:val="0"/>
                                <w:bCs w:val="0"/>
                                <w:sz w:val="32"/>
                                <w:szCs w:val="40"/>
                                <w:lang w:val="en-US" w:eastAsia="zh-CN"/>
                              </w:rPr>
                              <w:t>成功后，您会收到我办的自动回复邮件如下，这代表您已把资料发送到招标办邮箱。</w:t>
                            </w:r>
                          </w:p>
                          <w:p w14:paraId="149D0007">
                            <w:pPr>
                              <w:rPr>
                                <w:rFonts w:hint="eastAsia"/>
                                <w:lang w:val="en-US" w:eastAsia="zh-CN"/>
                              </w:rPr>
                            </w:pPr>
                          </w:p>
                          <w:p w14:paraId="60E483D1">
                            <w:pPr>
                              <w:rPr>
                                <w:rFonts w:hint="eastAsia"/>
                                <w:b w:val="0"/>
                                <w:bCs w:val="0"/>
                                <w:sz w:val="32"/>
                                <w:szCs w:val="40"/>
                                <w:lang w:val="en-US" w:eastAsia="zh-CN"/>
                              </w:rPr>
                            </w:pPr>
                            <w:r>
                              <w:drawing>
                                <wp:inline distT="0" distB="0" distL="114300" distR="114300">
                                  <wp:extent cx="5688330" cy="2185670"/>
                                  <wp:effectExtent l="9525" t="9525" r="17145" b="146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rcRect l="1224"/>
                                          <a:stretch>
                                            <a:fillRect/>
                                          </a:stretch>
                                        </pic:blipFill>
                                        <pic:spPr>
                                          <a:xfrm>
                                            <a:off x="0" y="0"/>
                                            <a:ext cx="5688330" cy="2185670"/>
                                          </a:xfrm>
                                          <a:prstGeom prst="rect">
                                            <a:avLst/>
                                          </a:prstGeom>
                                          <a:noFill/>
                                          <a:ln w="9525">
                                            <a:solidFill>
                                              <a:schemeClr val="tx1">
                                                <a:lumMod val="85000"/>
                                                <a:lumOff val="15000"/>
                                              </a:schemeClr>
                                            </a:solidFill>
                                          </a:ln>
                                        </pic:spPr>
                                      </pic:pic>
                                    </a:graphicData>
                                  </a:graphic>
                                </wp:inline>
                              </w:drawing>
                            </w:r>
                          </w:p>
                          <w:p w14:paraId="72F411FB">
                            <w:pPr>
                              <w:pStyle w:val="11"/>
                              <w:rPr>
                                <w:rFonts w:hint="eastAsia"/>
                                <w:lang w:val="en-US" w:eastAsia="zh-CN"/>
                              </w:rPr>
                            </w:pPr>
                          </w:p>
                          <w:p w14:paraId="5BAF3097">
                            <w:pPr>
                              <w:pStyle w:val="11"/>
                              <w:ind w:left="0" w:leftChars="0" w:firstLine="640" w:firstLineChars="200"/>
                              <w:rPr>
                                <w:rFonts w:hint="eastAsia"/>
                                <w:lang w:val="en-US" w:eastAsia="zh-CN"/>
                              </w:rPr>
                            </w:pPr>
                            <w:r>
                              <w:rPr>
                                <w:rFonts w:hint="eastAsia"/>
                                <w:b w:val="0"/>
                                <w:bCs w:val="0"/>
                                <w:u w:val="none"/>
                                <w:lang w:val="en-US" w:eastAsia="zh-CN"/>
                              </w:rPr>
                              <w:t>获取文件时间结束</w:t>
                            </w:r>
                            <w:r>
                              <w:rPr>
                                <w:rFonts w:hint="eastAsia"/>
                                <w:b w:val="0"/>
                                <w:bCs w:val="0"/>
                                <w:sz w:val="36"/>
                                <w:szCs w:val="28"/>
                                <w:u w:val="none"/>
                                <w:lang w:val="en-US" w:eastAsia="zh-CN"/>
                              </w:rPr>
                              <w:t>后，</w:t>
                            </w:r>
                            <w:r>
                              <w:rPr>
                                <w:rFonts w:hint="eastAsia"/>
                                <w:lang w:val="en-US" w:eastAsia="zh-CN"/>
                              </w:rPr>
                              <w:t>接下来</w:t>
                            </w:r>
                            <w:r>
                              <w:rPr>
                                <w:rFonts w:hint="eastAsia"/>
                              </w:rPr>
                              <w:t>请关注邮箱</w:t>
                            </w:r>
                            <w:r>
                              <w:rPr>
                                <w:rFonts w:hint="eastAsia"/>
                                <w:lang w:val="en-US" w:eastAsia="zh-CN"/>
                              </w:rPr>
                              <w:t>，招标办会把</w:t>
                            </w:r>
                            <w:r>
                              <w:rPr>
                                <w:rFonts w:hint="eastAsia"/>
                                <w:b/>
                                <w:bCs/>
                                <w:color w:val="FF0000"/>
                                <w:lang w:val="en-US" w:eastAsia="zh-CN"/>
                              </w:rPr>
                              <w:t>议价时间</w:t>
                            </w:r>
                            <w:r>
                              <w:rPr>
                                <w:rFonts w:hint="eastAsia"/>
                                <w:b/>
                                <w:bCs/>
                                <w:color w:val="000000" w:themeColor="text1"/>
                                <w:lang w:val="en-US" w:eastAsia="zh-CN"/>
                                <w14:textFill>
                                  <w14:solidFill>
                                    <w14:schemeClr w14:val="tx1"/>
                                  </w14:solidFill>
                                </w14:textFill>
                              </w:rPr>
                              <w:t>和</w:t>
                            </w:r>
                            <w:r>
                              <w:rPr>
                                <w:rFonts w:hint="eastAsia"/>
                                <w:b/>
                                <w:bCs/>
                                <w:color w:val="FF0000"/>
                                <w:lang w:val="en-US" w:eastAsia="zh-CN"/>
                              </w:rPr>
                              <w:t>地点</w:t>
                            </w:r>
                            <w:r>
                              <w:rPr>
                                <w:rFonts w:hint="eastAsia"/>
                                <w:b w:val="0"/>
                                <w:bCs w:val="0"/>
                                <w:color w:val="000000" w:themeColor="text1"/>
                                <w:lang w:val="en-US" w:eastAsia="zh-CN"/>
                                <w14:textFill>
                                  <w14:solidFill>
                                    <w14:schemeClr w14:val="tx1"/>
                                  </w14:solidFill>
                                </w14:textFill>
                              </w:rPr>
                              <w:t>发至</w:t>
                            </w:r>
                            <w:r>
                              <w:rPr>
                                <w:rFonts w:hint="eastAsia"/>
                                <w:b/>
                                <w:bCs/>
                                <w:color w:val="FF0000"/>
                                <w:lang w:val="en-US" w:eastAsia="zh-CN"/>
                              </w:rPr>
                              <w:t>供应商邮箱，</w:t>
                            </w:r>
                            <w:r>
                              <w:rPr>
                                <w:rFonts w:hint="eastAsia"/>
                                <w:lang w:val="en-US" w:eastAsia="zh-CN"/>
                              </w:rPr>
                              <w:t>请到现场参与议价。</w:t>
                            </w:r>
                          </w:p>
                          <w:p w14:paraId="3A5AC313">
                            <w:pPr>
                              <w:rPr>
                                <w:rFonts w:hint="default"/>
                                <w:lang w:val="en-US" w:eastAsia="zh-CN"/>
                              </w:rPr>
                            </w:pPr>
                          </w:p>
                          <w:p w14:paraId="0CFA0AD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5pt;margin-top:-1.85pt;height:579.7pt;width:471pt;z-index:251664384;mso-width-relative:page;mso-height-relative:page;" fillcolor="#FFFFFF [3201]" filled="t" stroked="t" coordsize="21600,21600" o:gfxdata="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ix4NfaAAAACwEAAA8AAAAAAAAAAQAgAAAAIgAAAGRy&#10;cy9kb3ducmV2LnhtbFBLAQIUABQAAAAIAIdO4kD7Fri5dQIAAPIEAAAOAAAAAAAAAAEAIAAAACkB&#10;AABkcnMvZTJvRG9jLnhtbFBLBQYAAAAABgAGAFkBAAAQBgAAAAA=&#10;">
                <v:fill on="t" focussize="0,0"/>
                <v:stroke weight="4.5pt" color="#0D0D0D [3069]" joinstyle="round"/>
                <v:imagedata o:title=""/>
                <o:lock v:ext="edit" aspectratio="f"/>
                <v:textbox>
                  <w:txbxContent>
                    <w:p w14:paraId="15F08F52">
                      <w:pPr>
                        <w:pStyle w:val="3"/>
                      </w:pPr>
                    </w:p>
                    <w:p w14:paraId="09FC003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w:t>
                      </w:r>
                      <w:r>
                        <w:rPr>
                          <w:rFonts w:hint="eastAsia" w:cs="宋体"/>
                          <w:color w:val="333333"/>
                          <w:kern w:val="0"/>
                          <w:sz w:val="28"/>
                          <w:szCs w:val="28"/>
                          <w:u w:val="none"/>
                          <w:lang w:val="en-US" w:eastAsia="zh-CN" w:bidi="ar"/>
                        </w:rPr>
                        <w:t>三</w:t>
                      </w:r>
                      <w:r>
                        <w:rPr>
                          <w:rFonts w:hint="eastAsia" w:ascii="宋体" w:hAnsi="宋体" w:eastAsia="宋体" w:cs="宋体"/>
                          <w:color w:val="333333"/>
                          <w:kern w:val="0"/>
                          <w:sz w:val="28"/>
                          <w:szCs w:val="28"/>
                          <w:u w:val="none"/>
                          <w:lang w:val="en-US" w:eastAsia="zh-CN" w:bidi="ar"/>
                        </w:rPr>
                        <w:t>步：</w:t>
                      </w:r>
                    </w:p>
                    <w:p w14:paraId="00A65FA6">
                      <w:pPr>
                        <w:pStyle w:val="11"/>
                        <w:rPr>
                          <w:rFonts w:hint="eastAsia"/>
                          <w:sz w:val="32"/>
                          <w:szCs w:val="40"/>
                          <w:lang w:val="en-US" w:eastAsia="zh-CN"/>
                        </w:rPr>
                      </w:pPr>
                    </w:p>
                    <w:p w14:paraId="4EC5091F">
                      <w:pPr>
                        <w:pStyle w:val="11"/>
                        <w:rPr>
                          <w:rFonts w:hint="eastAsia"/>
                          <w:b w:val="0"/>
                          <w:bCs w:val="0"/>
                          <w:sz w:val="32"/>
                          <w:szCs w:val="40"/>
                          <w:lang w:val="en-US" w:eastAsia="zh-CN"/>
                        </w:rPr>
                      </w:pPr>
                      <w:r>
                        <w:rPr>
                          <w:rFonts w:hint="eastAsia"/>
                          <w:sz w:val="32"/>
                          <w:szCs w:val="40"/>
                          <w:lang w:val="en-US" w:eastAsia="zh-CN"/>
                        </w:rPr>
                        <w:t>注意：</w:t>
                      </w:r>
                      <w:r>
                        <w:rPr>
                          <w:rFonts w:hint="eastAsia"/>
                          <w:sz w:val="32"/>
                          <w:szCs w:val="40"/>
                        </w:rPr>
                        <w:t>发送</w:t>
                      </w:r>
                      <w:r>
                        <w:rPr>
                          <w:rFonts w:hint="eastAsia"/>
                          <w:b/>
                          <w:bCs/>
                          <w:sz w:val="32"/>
                          <w:szCs w:val="40"/>
                        </w:rPr>
                        <w:t>资料</w:t>
                      </w:r>
                      <w:r>
                        <w:rPr>
                          <w:rFonts w:hint="eastAsia"/>
                          <w:b/>
                          <w:bCs/>
                          <w:sz w:val="32"/>
                          <w:szCs w:val="40"/>
                          <w:lang w:val="en-US" w:eastAsia="zh-CN"/>
                        </w:rPr>
                        <w:t>清单</w:t>
                      </w:r>
                      <w:r>
                        <w:rPr>
                          <w:rFonts w:hint="eastAsia"/>
                          <w:b w:val="0"/>
                          <w:bCs w:val="0"/>
                          <w:sz w:val="32"/>
                          <w:szCs w:val="40"/>
                          <w:lang w:val="en-US" w:eastAsia="zh-CN"/>
                        </w:rPr>
                        <w:t>成功后，您会收到我办的自动回复邮件如下，这代表您已把资料发送到招标办邮箱。</w:t>
                      </w:r>
                    </w:p>
                    <w:p w14:paraId="149D0007">
                      <w:pPr>
                        <w:rPr>
                          <w:rFonts w:hint="eastAsia"/>
                          <w:lang w:val="en-US" w:eastAsia="zh-CN"/>
                        </w:rPr>
                      </w:pPr>
                    </w:p>
                    <w:p w14:paraId="60E483D1">
                      <w:pPr>
                        <w:rPr>
                          <w:rFonts w:hint="eastAsia"/>
                          <w:b w:val="0"/>
                          <w:bCs w:val="0"/>
                          <w:sz w:val="32"/>
                          <w:szCs w:val="40"/>
                          <w:lang w:val="en-US" w:eastAsia="zh-CN"/>
                        </w:rPr>
                      </w:pPr>
                      <w:r>
                        <w:drawing>
                          <wp:inline distT="0" distB="0" distL="114300" distR="114300">
                            <wp:extent cx="5688330" cy="2185670"/>
                            <wp:effectExtent l="9525" t="9525" r="17145" b="146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rcRect l="1224"/>
                                    <a:stretch>
                                      <a:fillRect/>
                                    </a:stretch>
                                  </pic:blipFill>
                                  <pic:spPr>
                                    <a:xfrm>
                                      <a:off x="0" y="0"/>
                                      <a:ext cx="5688330" cy="2185670"/>
                                    </a:xfrm>
                                    <a:prstGeom prst="rect">
                                      <a:avLst/>
                                    </a:prstGeom>
                                    <a:noFill/>
                                    <a:ln w="9525">
                                      <a:solidFill>
                                        <a:schemeClr val="tx1">
                                          <a:lumMod val="85000"/>
                                          <a:lumOff val="15000"/>
                                        </a:schemeClr>
                                      </a:solidFill>
                                    </a:ln>
                                  </pic:spPr>
                                </pic:pic>
                              </a:graphicData>
                            </a:graphic>
                          </wp:inline>
                        </w:drawing>
                      </w:r>
                    </w:p>
                    <w:p w14:paraId="72F411FB">
                      <w:pPr>
                        <w:pStyle w:val="11"/>
                        <w:rPr>
                          <w:rFonts w:hint="eastAsia"/>
                          <w:lang w:val="en-US" w:eastAsia="zh-CN"/>
                        </w:rPr>
                      </w:pPr>
                    </w:p>
                    <w:p w14:paraId="5BAF3097">
                      <w:pPr>
                        <w:pStyle w:val="11"/>
                        <w:ind w:left="0" w:leftChars="0" w:firstLine="640" w:firstLineChars="200"/>
                        <w:rPr>
                          <w:rFonts w:hint="eastAsia"/>
                          <w:lang w:val="en-US" w:eastAsia="zh-CN"/>
                        </w:rPr>
                      </w:pPr>
                      <w:r>
                        <w:rPr>
                          <w:rFonts w:hint="eastAsia"/>
                          <w:b w:val="0"/>
                          <w:bCs w:val="0"/>
                          <w:u w:val="none"/>
                          <w:lang w:val="en-US" w:eastAsia="zh-CN"/>
                        </w:rPr>
                        <w:t>获取文件时间结束</w:t>
                      </w:r>
                      <w:r>
                        <w:rPr>
                          <w:rFonts w:hint="eastAsia"/>
                          <w:b w:val="0"/>
                          <w:bCs w:val="0"/>
                          <w:sz w:val="36"/>
                          <w:szCs w:val="28"/>
                          <w:u w:val="none"/>
                          <w:lang w:val="en-US" w:eastAsia="zh-CN"/>
                        </w:rPr>
                        <w:t>后，</w:t>
                      </w:r>
                      <w:r>
                        <w:rPr>
                          <w:rFonts w:hint="eastAsia"/>
                          <w:lang w:val="en-US" w:eastAsia="zh-CN"/>
                        </w:rPr>
                        <w:t>接下来</w:t>
                      </w:r>
                      <w:r>
                        <w:rPr>
                          <w:rFonts w:hint="eastAsia"/>
                        </w:rPr>
                        <w:t>请关注邮箱</w:t>
                      </w:r>
                      <w:r>
                        <w:rPr>
                          <w:rFonts w:hint="eastAsia"/>
                          <w:lang w:val="en-US" w:eastAsia="zh-CN"/>
                        </w:rPr>
                        <w:t>，招标办会把</w:t>
                      </w:r>
                      <w:r>
                        <w:rPr>
                          <w:rFonts w:hint="eastAsia"/>
                          <w:b/>
                          <w:bCs/>
                          <w:color w:val="FF0000"/>
                          <w:lang w:val="en-US" w:eastAsia="zh-CN"/>
                        </w:rPr>
                        <w:t>议价时间</w:t>
                      </w:r>
                      <w:r>
                        <w:rPr>
                          <w:rFonts w:hint="eastAsia"/>
                          <w:b/>
                          <w:bCs/>
                          <w:color w:val="000000" w:themeColor="text1"/>
                          <w:lang w:val="en-US" w:eastAsia="zh-CN"/>
                          <w14:textFill>
                            <w14:solidFill>
                              <w14:schemeClr w14:val="tx1"/>
                            </w14:solidFill>
                          </w14:textFill>
                        </w:rPr>
                        <w:t>和</w:t>
                      </w:r>
                      <w:r>
                        <w:rPr>
                          <w:rFonts w:hint="eastAsia"/>
                          <w:b/>
                          <w:bCs/>
                          <w:color w:val="FF0000"/>
                          <w:lang w:val="en-US" w:eastAsia="zh-CN"/>
                        </w:rPr>
                        <w:t>地点</w:t>
                      </w:r>
                      <w:r>
                        <w:rPr>
                          <w:rFonts w:hint="eastAsia"/>
                          <w:b w:val="0"/>
                          <w:bCs w:val="0"/>
                          <w:color w:val="000000" w:themeColor="text1"/>
                          <w:lang w:val="en-US" w:eastAsia="zh-CN"/>
                          <w14:textFill>
                            <w14:solidFill>
                              <w14:schemeClr w14:val="tx1"/>
                            </w14:solidFill>
                          </w14:textFill>
                        </w:rPr>
                        <w:t>发至</w:t>
                      </w:r>
                      <w:r>
                        <w:rPr>
                          <w:rFonts w:hint="eastAsia"/>
                          <w:b/>
                          <w:bCs/>
                          <w:color w:val="FF0000"/>
                          <w:lang w:val="en-US" w:eastAsia="zh-CN"/>
                        </w:rPr>
                        <w:t>供应商邮箱，</w:t>
                      </w:r>
                      <w:r>
                        <w:rPr>
                          <w:rFonts w:hint="eastAsia"/>
                          <w:lang w:val="en-US" w:eastAsia="zh-CN"/>
                        </w:rPr>
                        <w:t>请到现场参与议价。</w:t>
                      </w:r>
                    </w:p>
                    <w:p w14:paraId="3A5AC313">
                      <w:pPr>
                        <w:rPr>
                          <w:rFonts w:hint="default"/>
                          <w:lang w:val="en-US" w:eastAsia="zh-CN"/>
                        </w:rPr>
                      </w:pPr>
                    </w:p>
                    <w:p w14:paraId="0CFA0ADD"/>
                  </w:txbxContent>
                </v:textbox>
              </v:shape>
            </w:pict>
          </mc:Fallback>
        </mc:AlternateContent>
      </w:r>
    </w:p>
    <w:p w14:paraId="0536B052">
      <w:pPr>
        <w:pStyle w:val="10"/>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三、信用记录查询方法</w:t>
      </w:r>
    </w:p>
    <w:p w14:paraId="49231A7A">
      <w:pPr>
        <w:pStyle w:val="10"/>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14:paraId="765A79AF"/>
    <w:p w14:paraId="47EF0008">
      <w:pPr>
        <w:rPr>
          <w:b/>
          <w:bCs/>
          <w:sz w:val="24"/>
          <w:szCs w:val="32"/>
        </w:rPr>
      </w:pPr>
      <w:r>
        <w:rPr>
          <w:rFonts w:hint="eastAsia"/>
          <w:b/>
          <w:bCs/>
          <w:sz w:val="24"/>
          <w:szCs w:val="32"/>
        </w:rPr>
        <w:t>查询、截图、打印、盖章，（三个网站缺一不可）：</w:t>
      </w:r>
    </w:p>
    <w:p w14:paraId="79DCED55">
      <w:r>
        <w:rPr>
          <w:rFonts w:hint="eastAsia"/>
        </w:rPr>
        <w:t>1、</w:t>
      </w:r>
      <w:r>
        <w:fldChar w:fldCharType="begin"/>
      </w:r>
      <w:r>
        <w:instrText xml:space="preserve"> HYPERLINK "http://zxgk.court.gov.cn/shixin/" </w:instrText>
      </w:r>
      <w:r>
        <w:fldChar w:fldCharType="separate"/>
      </w:r>
      <w:r>
        <w:rPr>
          <w:rStyle w:val="17"/>
          <w:rFonts w:hint="eastAsia"/>
        </w:rPr>
        <w:t>http://zxgk.court.gov.cn/shixin/</w:t>
      </w:r>
      <w:r>
        <w:rPr>
          <w:rStyle w:val="17"/>
          <w:rFonts w:hint="eastAsia"/>
        </w:rPr>
        <w:fldChar w:fldCharType="end"/>
      </w:r>
      <w:r>
        <w:rPr>
          <w:rFonts w:hint="eastAsia"/>
        </w:rPr>
        <w:t xml:space="preserve"> </w:t>
      </w:r>
    </w:p>
    <w:p w14:paraId="0D6D1E49">
      <w:r>
        <mc:AlternateContent>
          <mc:Choice Requires="wps">
            <w:drawing>
              <wp:anchor distT="0" distB="0" distL="114300" distR="114300" simplePos="0" relativeHeight="251661312"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01A2BC">
                            <w:pPr>
                              <w:jc w:val="center"/>
                            </w:pPr>
                            <w:r>
                              <w:rPr>
                                <w:rFonts w:hint="eastAsia"/>
                              </w:rPr>
                              <w:t>百度“信用中国”进入官网首页</w:t>
                            </w:r>
                          </w:p>
                          <w:p w14:paraId="3B957E00">
                            <w:pPr>
                              <w:jc w:val="center"/>
                            </w:pPr>
                            <w:r>
                              <w:rPr>
                                <w:rFonts w:hint="eastAsia"/>
                              </w:rPr>
                              <w:t>↓</w:t>
                            </w:r>
                          </w:p>
                          <w:p w14:paraId="52CFD291">
                            <w:pPr>
                              <w:jc w:val="center"/>
                            </w:pPr>
                            <w:r>
                              <w:rPr>
                                <w:rFonts w:hint="eastAsia"/>
                              </w:rPr>
                              <w:t>信用服务</w:t>
                            </w:r>
                          </w:p>
                          <w:p w14:paraId="1DA11FAE">
                            <w:pPr>
                              <w:jc w:val="center"/>
                            </w:pPr>
                            <w:r>
                              <w:rPr>
                                <w:rFonts w:hint="eastAsia"/>
                              </w:rPr>
                              <w:t>↓</w:t>
                            </w:r>
                          </w:p>
                          <w:p w14:paraId="64CA54CF">
                            <w:pPr>
                              <w:jc w:val="center"/>
                              <w:rPr>
                                <w:b/>
                                <w:bCs/>
                              </w:rPr>
                            </w:pPr>
                            <w:r>
                              <w:rPr>
                                <w:rFonts w:hint="eastAsia"/>
                                <w:b/>
                                <w:bCs/>
                              </w:rPr>
                              <w:t>失信被执行人</w:t>
                            </w:r>
                          </w:p>
                          <w:p w14:paraId="1A69E5E8">
                            <w:pPr>
                              <w:jc w:val="center"/>
                            </w:pPr>
                            <w:r>
                              <w:rPr>
                                <w:rFonts w:hint="eastAsia"/>
                              </w:rPr>
                              <w:t>↓</w:t>
                            </w:r>
                          </w:p>
                          <w:p w14:paraId="264BCAE2">
                            <w:pPr>
                              <w:jc w:val="center"/>
                            </w:pPr>
                            <w:r>
                              <w:rPr>
                                <w:rFonts w:hint="eastAsia"/>
                              </w:rPr>
                              <w:t>填写、查询</w:t>
                            </w:r>
                          </w:p>
                          <w:p w14:paraId="3A865225">
                            <w:pPr>
                              <w:jc w:val="center"/>
                            </w:pPr>
                            <w:r>
                              <w:rPr>
                                <w:rFonts w:hint="eastAsia"/>
                              </w:rPr>
                              <w:t>↓</w:t>
                            </w:r>
                          </w:p>
                          <w:p w14:paraId="7524682A">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1312;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14:paraId="3901A2BC">
                      <w:pPr>
                        <w:jc w:val="center"/>
                      </w:pPr>
                      <w:r>
                        <w:rPr>
                          <w:rFonts w:hint="eastAsia"/>
                        </w:rPr>
                        <w:t>百度“信用中国”进入官网首页</w:t>
                      </w:r>
                    </w:p>
                    <w:p w14:paraId="3B957E00">
                      <w:pPr>
                        <w:jc w:val="center"/>
                      </w:pPr>
                      <w:r>
                        <w:rPr>
                          <w:rFonts w:hint="eastAsia"/>
                        </w:rPr>
                        <w:t>↓</w:t>
                      </w:r>
                    </w:p>
                    <w:p w14:paraId="52CFD291">
                      <w:pPr>
                        <w:jc w:val="center"/>
                      </w:pPr>
                      <w:r>
                        <w:rPr>
                          <w:rFonts w:hint="eastAsia"/>
                        </w:rPr>
                        <w:t>信用服务</w:t>
                      </w:r>
                    </w:p>
                    <w:p w14:paraId="1DA11FAE">
                      <w:pPr>
                        <w:jc w:val="center"/>
                      </w:pPr>
                      <w:r>
                        <w:rPr>
                          <w:rFonts w:hint="eastAsia"/>
                        </w:rPr>
                        <w:t>↓</w:t>
                      </w:r>
                    </w:p>
                    <w:p w14:paraId="64CA54CF">
                      <w:pPr>
                        <w:jc w:val="center"/>
                        <w:rPr>
                          <w:b/>
                          <w:bCs/>
                        </w:rPr>
                      </w:pPr>
                      <w:r>
                        <w:rPr>
                          <w:rFonts w:hint="eastAsia"/>
                          <w:b/>
                          <w:bCs/>
                        </w:rPr>
                        <w:t>失信被执行人</w:t>
                      </w:r>
                    </w:p>
                    <w:p w14:paraId="1A69E5E8">
                      <w:pPr>
                        <w:jc w:val="center"/>
                      </w:pPr>
                      <w:r>
                        <w:rPr>
                          <w:rFonts w:hint="eastAsia"/>
                        </w:rPr>
                        <w:t>↓</w:t>
                      </w:r>
                    </w:p>
                    <w:p w14:paraId="264BCAE2">
                      <w:pPr>
                        <w:jc w:val="center"/>
                      </w:pPr>
                      <w:r>
                        <w:rPr>
                          <w:rFonts w:hint="eastAsia"/>
                        </w:rPr>
                        <w:t>填写、查询</w:t>
                      </w:r>
                    </w:p>
                    <w:p w14:paraId="3A865225">
                      <w:pPr>
                        <w:jc w:val="center"/>
                      </w:pPr>
                      <w:r>
                        <w:rPr>
                          <w:rFonts w:hint="eastAsia"/>
                        </w:rPr>
                        <w:t>↓</w:t>
                      </w:r>
                    </w:p>
                    <w:p w14:paraId="7524682A">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115310" cy="2007870"/>
                    </a:xfrm>
                    <a:prstGeom prst="rect">
                      <a:avLst/>
                    </a:prstGeom>
                    <a:noFill/>
                    <a:ln w="3175">
                      <a:solidFill>
                        <a:schemeClr val="tx1"/>
                      </a:solidFill>
                    </a:ln>
                  </pic:spPr>
                </pic:pic>
              </a:graphicData>
            </a:graphic>
          </wp:inline>
        </w:drawing>
      </w:r>
    </w:p>
    <w:p w14:paraId="4440ED2F">
      <w:r>
        <w:rPr>
          <w:rFonts w:hint="eastAsia"/>
        </w:rPr>
        <w:t>2、</w:t>
      </w:r>
      <w:r>
        <w:t>https://www.creditchina.gov.cn/xinyongfuwu/zhongdashuishouweifaanjian/</w:t>
      </w:r>
    </w:p>
    <w:p w14:paraId="40D81FD3">
      <w:r>
        <mc:AlternateContent>
          <mc:Choice Requires="wps">
            <w:drawing>
              <wp:anchor distT="0" distB="0" distL="114300" distR="114300" simplePos="0" relativeHeight="251662336"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6A9521">
                            <w:pPr>
                              <w:jc w:val="center"/>
                            </w:pPr>
                            <w:r>
                              <w:rPr>
                                <w:rFonts w:hint="eastAsia"/>
                              </w:rPr>
                              <w:t>百度“信用中国”进入官网首页</w:t>
                            </w:r>
                          </w:p>
                          <w:p w14:paraId="14A03523">
                            <w:pPr>
                              <w:jc w:val="center"/>
                            </w:pPr>
                            <w:r>
                              <w:rPr>
                                <w:rFonts w:hint="eastAsia"/>
                              </w:rPr>
                              <w:t>↓</w:t>
                            </w:r>
                          </w:p>
                          <w:p w14:paraId="0A4D7F99">
                            <w:pPr>
                              <w:jc w:val="center"/>
                            </w:pPr>
                            <w:r>
                              <w:rPr>
                                <w:rFonts w:hint="eastAsia"/>
                              </w:rPr>
                              <w:t>信用服务</w:t>
                            </w:r>
                          </w:p>
                          <w:p w14:paraId="532E1961">
                            <w:pPr>
                              <w:jc w:val="center"/>
                              <w:rPr>
                                <w:b/>
                                <w:bCs/>
                              </w:rPr>
                            </w:pPr>
                            <w:r>
                              <w:rPr>
                                <w:rFonts w:hint="eastAsia"/>
                                <w:b/>
                                <w:bCs/>
                              </w:rPr>
                              <w:t>↓</w:t>
                            </w:r>
                          </w:p>
                          <w:p w14:paraId="2BA65C74">
                            <w:pPr>
                              <w:jc w:val="center"/>
                              <w:rPr>
                                <w:b/>
                                <w:bCs/>
                              </w:rPr>
                            </w:pPr>
                            <w:r>
                              <w:rPr>
                                <w:rFonts w:hint="eastAsia"/>
                                <w:b/>
                                <w:bCs/>
                              </w:rPr>
                              <w:t>重大税收违法失信主体</w:t>
                            </w:r>
                          </w:p>
                          <w:p w14:paraId="3B520F52">
                            <w:pPr>
                              <w:jc w:val="center"/>
                            </w:pPr>
                            <w:r>
                              <w:rPr>
                                <w:rFonts w:hint="eastAsia"/>
                              </w:rPr>
                              <w:t>↓</w:t>
                            </w:r>
                          </w:p>
                          <w:p w14:paraId="13AE26C6">
                            <w:pPr>
                              <w:jc w:val="center"/>
                            </w:pPr>
                            <w:r>
                              <w:rPr>
                                <w:rFonts w:hint="eastAsia"/>
                              </w:rPr>
                              <w:t>填写、查询</w:t>
                            </w:r>
                          </w:p>
                          <w:p w14:paraId="1D2E647C">
                            <w:pPr>
                              <w:jc w:val="center"/>
                            </w:pPr>
                            <w:r>
                              <w:rPr>
                                <w:rFonts w:hint="eastAsia"/>
                              </w:rPr>
                              <w:t>↓</w:t>
                            </w:r>
                          </w:p>
                          <w:p w14:paraId="0DDFB0CF">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2336;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14:paraId="366A9521">
                      <w:pPr>
                        <w:jc w:val="center"/>
                      </w:pPr>
                      <w:r>
                        <w:rPr>
                          <w:rFonts w:hint="eastAsia"/>
                        </w:rPr>
                        <w:t>百度“信用中国”进入官网首页</w:t>
                      </w:r>
                    </w:p>
                    <w:p w14:paraId="14A03523">
                      <w:pPr>
                        <w:jc w:val="center"/>
                      </w:pPr>
                      <w:r>
                        <w:rPr>
                          <w:rFonts w:hint="eastAsia"/>
                        </w:rPr>
                        <w:t>↓</w:t>
                      </w:r>
                    </w:p>
                    <w:p w14:paraId="0A4D7F99">
                      <w:pPr>
                        <w:jc w:val="center"/>
                      </w:pPr>
                      <w:r>
                        <w:rPr>
                          <w:rFonts w:hint="eastAsia"/>
                        </w:rPr>
                        <w:t>信用服务</w:t>
                      </w:r>
                    </w:p>
                    <w:p w14:paraId="532E1961">
                      <w:pPr>
                        <w:jc w:val="center"/>
                        <w:rPr>
                          <w:b/>
                          <w:bCs/>
                        </w:rPr>
                      </w:pPr>
                      <w:r>
                        <w:rPr>
                          <w:rFonts w:hint="eastAsia"/>
                          <w:b/>
                          <w:bCs/>
                        </w:rPr>
                        <w:t>↓</w:t>
                      </w:r>
                    </w:p>
                    <w:p w14:paraId="2BA65C74">
                      <w:pPr>
                        <w:jc w:val="center"/>
                        <w:rPr>
                          <w:b/>
                          <w:bCs/>
                        </w:rPr>
                      </w:pPr>
                      <w:r>
                        <w:rPr>
                          <w:rFonts w:hint="eastAsia"/>
                          <w:b/>
                          <w:bCs/>
                        </w:rPr>
                        <w:t>重大税收违法失信主体</w:t>
                      </w:r>
                    </w:p>
                    <w:p w14:paraId="3B520F52">
                      <w:pPr>
                        <w:jc w:val="center"/>
                      </w:pPr>
                      <w:r>
                        <w:rPr>
                          <w:rFonts w:hint="eastAsia"/>
                        </w:rPr>
                        <w:t>↓</w:t>
                      </w:r>
                    </w:p>
                    <w:p w14:paraId="13AE26C6">
                      <w:pPr>
                        <w:jc w:val="center"/>
                      </w:pPr>
                      <w:r>
                        <w:rPr>
                          <w:rFonts w:hint="eastAsia"/>
                        </w:rPr>
                        <w:t>填写、查询</w:t>
                      </w:r>
                    </w:p>
                    <w:p w14:paraId="1D2E647C">
                      <w:pPr>
                        <w:jc w:val="center"/>
                      </w:pPr>
                      <w:r>
                        <w:rPr>
                          <w:rFonts w:hint="eastAsia"/>
                        </w:rPr>
                        <w:t>↓</w:t>
                      </w:r>
                    </w:p>
                    <w:p w14:paraId="0DDFB0CF">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3142107" cy="1972342"/>
                    </a:xfrm>
                    <a:prstGeom prst="rect">
                      <a:avLst/>
                    </a:prstGeom>
                    <a:ln>
                      <a:solidFill>
                        <a:schemeClr val="tx1"/>
                      </a:solidFill>
                    </a:ln>
                  </pic:spPr>
                </pic:pic>
              </a:graphicData>
            </a:graphic>
          </wp:inline>
        </w:drawing>
      </w:r>
    </w:p>
    <w:p w14:paraId="19C44EE8">
      <w:r>
        <mc:AlternateContent>
          <mc:Choice Requires="wps">
            <w:drawing>
              <wp:anchor distT="0" distB="0" distL="114300" distR="114300" simplePos="0" relativeHeight="251663360"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DA9086">
                            <w:pPr>
                              <w:jc w:val="center"/>
                            </w:pPr>
                            <w:r>
                              <w:rPr>
                                <w:rFonts w:hint="eastAsia"/>
                              </w:rPr>
                              <w:t>百度“中国政府采购网”</w:t>
                            </w:r>
                          </w:p>
                          <w:p w14:paraId="4D7949DF">
                            <w:pPr>
                              <w:jc w:val="center"/>
                            </w:pPr>
                            <w:r>
                              <w:rPr>
                                <w:rFonts w:hint="eastAsia"/>
                              </w:rPr>
                              <w:t>进入官网首页</w:t>
                            </w:r>
                          </w:p>
                          <w:p w14:paraId="6FAD83F3">
                            <w:pPr>
                              <w:jc w:val="center"/>
                            </w:pPr>
                            <w:r>
                              <w:rPr>
                                <w:rFonts w:hint="eastAsia"/>
                              </w:rPr>
                              <w:t>↓</w:t>
                            </w:r>
                          </w:p>
                          <w:p w14:paraId="265BBF03">
                            <w:pPr>
                              <w:jc w:val="center"/>
                              <w:rPr>
                                <w:b/>
                                <w:bCs/>
                              </w:rPr>
                            </w:pPr>
                            <w:r>
                              <w:rPr>
                                <w:rFonts w:hint="eastAsia"/>
                                <w:b/>
                                <w:bCs/>
                              </w:rPr>
                              <w:t xml:space="preserve"> 政府采购严重违法失信行为记录名单</w:t>
                            </w:r>
                          </w:p>
                          <w:p w14:paraId="2604E344">
                            <w:pPr>
                              <w:jc w:val="center"/>
                              <w:rPr>
                                <w:b/>
                                <w:bCs/>
                              </w:rPr>
                            </w:pPr>
                            <w:r>
                              <w:rPr>
                                <w:rFonts w:hint="eastAsia"/>
                                <w:b/>
                                <w:bCs/>
                              </w:rPr>
                              <w:t>↓</w:t>
                            </w:r>
                          </w:p>
                          <w:p w14:paraId="16E88803">
                            <w:pPr>
                              <w:jc w:val="center"/>
                            </w:pPr>
                            <w:r>
                              <w:rPr>
                                <w:rFonts w:hint="eastAsia"/>
                              </w:rPr>
                              <w:t>填写、查询</w:t>
                            </w:r>
                          </w:p>
                          <w:p w14:paraId="12049424">
                            <w:pPr>
                              <w:jc w:val="center"/>
                            </w:pPr>
                            <w:r>
                              <w:rPr>
                                <w:rFonts w:hint="eastAsia"/>
                              </w:rPr>
                              <w:t>↓</w:t>
                            </w:r>
                          </w:p>
                          <w:p w14:paraId="57D22451">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3360;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14:paraId="43DA9086">
                      <w:pPr>
                        <w:jc w:val="center"/>
                      </w:pPr>
                      <w:r>
                        <w:rPr>
                          <w:rFonts w:hint="eastAsia"/>
                        </w:rPr>
                        <w:t>百度“中国政府采购网”</w:t>
                      </w:r>
                    </w:p>
                    <w:p w14:paraId="4D7949DF">
                      <w:pPr>
                        <w:jc w:val="center"/>
                      </w:pPr>
                      <w:r>
                        <w:rPr>
                          <w:rFonts w:hint="eastAsia"/>
                        </w:rPr>
                        <w:t>进入官网首页</w:t>
                      </w:r>
                    </w:p>
                    <w:p w14:paraId="6FAD83F3">
                      <w:pPr>
                        <w:jc w:val="center"/>
                      </w:pPr>
                      <w:r>
                        <w:rPr>
                          <w:rFonts w:hint="eastAsia"/>
                        </w:rPr>
                        <w:t>↓</w:t>
                      </w:r>
                    </w:p>
                    <w:p w14:paraId="265BBF03">
                      <w:pPr>
                        <w:jc w:val="center"/>
                        <w:rPr>
                          <w:b/>
                          <w:bCs/>
                        </w:rPr>
                      </w:pPr>
                      <w:r>
                        <w:rPr>
                          <w:rFonts w:hint="eastAsia"/>
                          <w:b/>
                          <w:bCs/>
                        </w:rPr>
                        <w:t xml:space="preserve"> 政府采购严重违法失信行为记录名单</w:t>
                      </w:r>
                    </w:p>
                    <w:p w14:paraId="2604E344">
                      <w:pPr>
                        <w:jc w:val="center"/>
                        <w:rPr>
                          <w:b/>
                          <w:bCs/>
                        </w:rPr>
                      </w:pPr>
                      <w:r>
                        <w:rPr>
                          <w:rFonts w:hint="eastAsia"/>
                          <w:b/>
                          <w:bCs/>
                        </w:rPr>
                        <w:t>↓</w:t>
                      </w:r>
                    </w:p>
                    <w:p w14:paraId="16E88803">
                      <w:pPr>
                        <w:jc w:val="center"/>
                      </w:pPr>
                      <w:r>
                        <w:rPr>
                          <w:rFonts w:hint="eastAsia"/>
                        </w:rPr>
                        <w:t>填写、查询</w:t>
                      </w:r>
                    </w:p>
                    <w:p w14:paraId="12049424">
                      <w:pPr>
                        <w:jc w:val="center"/>
                      </w:pPr>
                      <w:r>
                        <w:rPr>
                          <w:rFonts w:hint="eastAsia"/>
                        </w:rPr>
                        <w:t>↓</w:t>
                      </w:r>
                    </w:p>
                    <w:p w14:paraId="57D22451">
                      <w:pPr>
                        <w:jc w:val="center"/>
                      </w:pPr>
                      <w:r>
                        <w:rPr>
                          <w:rFonts w:hint="eastAsia"/>
                        </w:rPr>
                        <w:t>截图，打印，加盖公章</w:t>
                      </w:r>
                    </w:p>
                  </w:txbxContent>
                </v:textbox>
              </v:shape>
            </w:pict>
          </mc:Fallback>
        </mc:AlternateContent>
      </w:r>
      <w:r>
        <w:rPr>
          <w:rFonts w:hint="eastAsia"/>
        </w:rPr>
        <w:t>3、</w:t>
      </w:r>
      <w:r>
        <w:t>http://www.ccgp.gov.cn/search/cr/</w:t>
      </w:r>
    </w:p>
    <w:p w14:paraId="14B7F78E">
      <w:pPr>
        <w:ind w:leftChars="-200" w:hanging="420" w:hangingChars="200"/>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777615" cy="1692275"/>
                    </a:xfrm>
                    <a:prstGeom prst="rect">
                      <a:avLst/>
                    </a:prstGeom>
                    <a:noFill/>
                    <a:ln>
                      <a:solidFill>
                        <a:schemeClr val="tx1"/>
                      </a:solidFill>
                    </a:ln>
                  </pic:spPr>
                </pic:pic>
              </a:graphicData>
            </a:graphic>
          </wp:inline>
        </w:drawing>
      </w:r>
    </w:p>
    <w:p w14:paraId="3859CA7B">
      <w:r>
        <w:br w:type="page"/>
      </w:r>
    </w:p>
    <w:p w14:paraId="591815BB">
      <w:pPr>
        <w:pStyle w:val="11"/>
        <w:jc w:val="center"/>
        <w:rPr>
          <w:rFonts w:ascii="黑体" w:hAnsi="黑体" w:eastAsia="黑体" w:cs="黑体"/>
          <w:b/>
          <w:bCs/>
          <w:sz w:val="36"/>
          <w:szCs w:val="28"/>
        </w:rPr>
      </w:pPr>
      <w:r>
        <w:rPr>
          <w:rFonts w:hint="eastAsia" w:ascii="黑体" w:hAnsi="黑体" w:eastAsia="黑体" w:cs="黑体"/>
          <w:b/>
          <w:bCs/>
          <w:sz w:val="36"/>
          <w:szCs w:val="28"/>
        </w:rPr>
        <w:t>须知事项</w:t>
      </w:r>
    </w:p>
    <w:p w14:paraId="1204C7BB"/>
    <w:p w14:paraId="0AB5C21C">
      <w:pPr>
        <w:pStyle w:val="11"/>
        <w:rPr>
          <w:rFonts w:hint="eastAsia"/>
        </w:rPr>
      </w:pPr>
      <w:r>
        <w:rPr>
          <w:rFonts w:hint="eastAsia"/>
          <w:lang w:val="en-US" w:eastAsia="zh-CN"/>
        </w:rPr>
        <w:t>1.</w:t>
      </w:r>
      <w:r>
        <w:rPr>
          <w:rFonts w:hint="eastAsia"/>
        </w:rPr>
        <w:t>公开议价当日请响应文件中的委托代理人本人到现场参与议价，非委托代理人不能替签字。</w:t>
      </w:r>
    </w:p>
    <w:p w14:paraId="283E3974">
      <w:pPr>
        <w:pStyle w:val="11"/>
        <w:rPr>
          <w:rFonts w:hint="eastAsia"/>
          <w:lang w:val="en-US" w:eastAsia="zh-CN"/>
        </w:rPr>
      </w:pPr>
      <w:r>
        <w:rPr>
          <w:rFonts w:hint="eastAsia"/>
          <w:lang w:val="en-US" w:eastAsia="zh-CN"/>
        </w:rPr>
        <w:t>2.现场议价，请不要提前发送响应文件电子版到邮箱。</w:t>
      </w:r>
    </w:p>
    <w:p w14:paraId="0216AFF5">
      <w:pPr>
        <w:rPr>
          <w:rFonts w:hint="eastAsia"/>
          <w:lang w:val="en-US" w:eastAsia="zh-CN"/>
        </w:rPr>
      </w:pPr>
    </w:p>
    <w:p w14:paraId="6B9895ED">
      <w:pPr>
        <w:pStyle w:val="11"/>
        <w:rPr>
          <w:rFonts w:hint="default"/>
          <w:u w:val="none"/>
          <w:lang w:val="en-US" w:eastAsia="zh-CN"/>
        </w:rPr>
      </w:pPr>
      <w:r>
        <w:rPr>
          <w:rFonts w:hint="eastAsia"/>
          <w:lang w:val="en-US" w:eastAsia="zh-CN"/>
        </w:rPr>
        <w:t>3.获取</w:t>
      </w:r>
      <w:r>
        <w:rPr>
          <w:rFonts w:hint="eastAsia"/>
          <w:u w:val="none"/>
          <w:lang w:val="en-US" w:eastAsia="zh-CN"/>
        </w:rPr>
        <w:t>文件时间结束后，接下来请关注邮箱，招标办会把</w:t>
      </w:r>
      <w:r>
        <w:rPr>
          <w:rFonts w:hint="eastAsia"/>
          <w:b/>
          <w:bCs/>
          <w:color w:val="FF0000"/>
          <w:u w:val="none"/>
          <w:lang w:val="en-US" w:eastAsia="zh-CN"/>
        </w:rPr>
        <w:t>议价时间</w:t>
      </w:r>
      <w:r>
        <w:rPr>
          <w:rFonts w:hint="eastAsia"/>
          <w:u w:val="none"/>
          <w:lang w:val="en-US" w:eastAsia="zh-CN"/>
        </w:rPr>
        <w:t>和</w:t>
      </w:r>
      <w:r>
        <w:rPr>
          <w:rFonts w:hint="eastAsia"/>
          <w:b/>
          <w:bCs/>
          <w:color w:val="FF0000"/>
          <w:u w:val="none"/>
          <w:lang w:val="en-US" w:eastAsia="zh-CN"/>
        </w:rPr>
        <w:t>地点</w:t>
      </w:r>
      <w:r>
        <w:rPr>
          <w:rFonts w:hint="eastAsia"/>
          <w:u w:val="none"/>
          <w:lang w:val="en-US" w:eastAsia="zh-CN"/>
        </w:rPr>
        <w:t>发至供应商邮箱，请到现场参与议价。</w:t>
      </w: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5B80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520E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4520E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6"/>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000000"/>
    <w:rsid w:val="01E23A08"/>
    <w:rsid w:val="026278DB"/>
    <w:rsid w:val="02FA7890"/>
    <w:rsid w:val="03032644"/>
    <w:rsid w:val="04BF4B6C"/>
    <w:rsid w:val="071F2532"/>
    <w:rsid w:val="07985BDA"/>
    <w:rsid w:val="082F4991"/>
    <w:rsid w:val="08666223"/>
    <w:rsid w:val="09DA4F37"/>
    <w:rsid w:val="0AA1400C"/>
    <w:rsid w:val="0AA33D4B"/>
    <w:rsid w:val="0F927F1A"/>
    <w:rsid w:val="10335578"/>
    <w:rsid w:val="10AA4EBF"/>
    <w:rsid w:val="10DA3020"/>
    <w:rsid w:val="116152F5"/>
    <w:rsid w:val="118E1D20"/>
    <w:rsid w:val="13116BD7"/>
    <w:rsid w:val="1399464B"/>
    <w:rsid w:val="14551D69"/>
    <w:rsid w:val="147963F6"/>
    <w:rsid w:val="161213BC"/>
    <w:rsid w:val="16F42570"/>
    <w:rsid w:val="17F14DF6"/>
    <w:rsid w:val="18D91532"/>
    <w:rsid w:val="1934740B"/>
    <w:rsid w:val="1ACA09E8"/>
    <w:rsid w:val="1AE81FF7"/>
    <w:rsid w:val="1B226EB1"/>
    <w:rsid w:val="1BAC7F86"/>
    <w:rsid w:val="1C3D64A7"/>
    <w:rsid w:val="1CEF2135"/>
    <w:rsid w:val="1DD52537"/>
    <w:rsid w:val="1E061E63"/>
    <w:rsid w:val="1F0303DE"/>
    <w:rsid w:val="1FCF5899"/>
    <w:rsid w:val="20235A54"/>
    <w:rsid w:val="246B4C91"/>
    <w:rsid w:val="24A47BC6"/>
    <w:rsid w:val="25E30939"/>
    <w:rsid w:val="2AC12392"/>
    <w:rsid w:val="2B7A168A"/>
    <w:rsid w:val="2C0F0D1A"/>
    <w:rsid w:val="2D196FBD"/>
    <w:rsid w:val="2D1F313F"/>
    <w:rsid w:val="2E2F333C"/>
    <w:rsid w:val="2ED23AB3"/>
    <w:rsid w:val="338525E8"/>
    <w:rsid w:val="338D286C"/>
    <w:rsid w:val="36645204"/>
    <w:rsid w:val="38821A2F"/>
    <w:rsid w:val="38B64B25"/>
    <w:rsid w:val="395B4DAD"/>
    <w:rsid w:val="3BB868B1"/>
    <w:rsid w:val="3D7A6218"/>
    <w:rsid w:val="3ECC5774"/>
    <w:rsid w:val="3F804650"/>
    <w:rsid w:val="41EE4C73"/>
    <w:rsid w:val="46CB3A54"/>
    <w:rsid w:val="48C56F98"/>
    <w:rsid w:val="4C1768ED"/>
    <w:rsid w:val="4C2148C7"/>
    <w:rsid w:val="52394F55"/>
    <w:rsid w:val="55545AEF"/>
    <w:rsid w:val="56F4418C"/>
    <w:rsid w:val="58D436A1"/>
    <w:rsid w:val="5B141BCA"/>
    <w:rsid w:val="5E6E3447"/>
    <w:rsid w:val="5F0947CC"/>
    <w:rsid w:val="5F2A7D2E"/>
    <w:rsid w:val="628053B3"/>
    <w:rsid w:val="62850EB0"/>
    <w:rsid w:val="63760DC9"/>
    <w:rsid w:val="65262D73"/>
    <w:rsid w:val="67297D2D"/>
    <w:rsid w:val="682C6854"/>
    <w:rsid w:val="6939776A"/>
    <w:rsid w:val="6A122579"/>
    <w:rsid w:val="6CF51490"/>
    <w:rsid w:val="6F127375"/>
    <w:rsid w:val="6F9D3F59"/>
    <w:rsid w:val="72B63912"/>
    <w:rsid w:val="75FC5568"/>
    <w:rsid w:val="786F5C73"/>
    <w:rsid w:val="7A8B2C17"/>
    <w:rsid w:val="7B4B751B"/>
    <w:rsid w:val="7D00788A"/>
    <w:rsid w:val="7D8255B6"/>
    <w:rsid w:val="7EB01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7"/>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7">
    <w:name w:val="heading 3"/>
    <w:basedOn w:val="1"/>
    <w:next w:val="1"/>
    <w:autoRedefine/>
    <w:qFormat/>
    <w:uiPriority w:val="0"/>
    <w:pPr>
      <w:keepNext/>
      <w:keepLines/>
      <w:spacing w:before="260" w:beforeLines="0" w:after="260" w:afterLines="0" w:line="413"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autoSpaceDE w:val="0"/>
      <w:autoSpaceDN w:val="0"/>
      <w:adjustRightInd w:val="0"/>
      <w:spacing w:after="120" w:line="480" w:lineRule="auto"/>
      <w:ind w:left="420" w:leftChars="200"/>
      <w:jc w:val="left"/>
    </w:pPr>
    <w:rPr>
      <w:rFonts w:hAnsi="Times New Roman" w:cs="Times New Roman"/>
      <w:sz w:val="20"/>
      <w:szCs w:val="20"/>
    </w:r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8">
    <w:name w:val="Body Text Indent"/>
    <w:basedOn w:val="1"/>
    <w:autoRedefine/>
    <w:qFormat/>
    <w:uiPriority w:val="0"/>
    <w:pPr>
      <w:spacing w:after="120"/>
      <w:ind w:left="420" w:leftChars="2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1">
    <w:name w:val="Body Text First Indent"/>
    <w:basedOn w:val="3"/>
    <w:next w:val="1"/>
    <w:autoRedefine/>
    <w:qFormat/>
    <w:uiPriority w:val="0"/>
    <w:pPr>
      <w:ind w:firstLine="420"/>
    </w:pPr>
    <w:rPr>
      <w:rFonts w:eastAsia="楷体_GB2312"/>
      <w:sz w:val="32"/>
    </w:rPr>
  </w:style>
  <w:style w:type="paragraph" w:styleId="12">
    <w:name w:val="Body Text First Indent 2"/>
    <w:basedOn w:val="8"/>
    <w:next w:val="1"/>
    <w:autoRedefine/>
    <w:qFormat/>
    <w:uiPriority w:val="0"/>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basedOn w:val="15"/>
    <w:autoRedefine/>
    <w:qFormat/>
    <w:uiPriority w:val="0"/>
    <w:rPr>
      <w:color w:val="333333"/>
      <w:u w:val="none"/>
    </w:rPr>
  </w:style>
  <w:style w:type="character" w:styleId="17">
    <w:name w:val="Hyperlink"/>
    <w:basedOn w:val="15"/>
    <w:autoRedefine/>
    <w:qFormat/>
    <w:uiPriority w:val="0"/>
    <w:rPr>
      <w:color w:val="333333"/>
      <w:u w:val="none"/>
    </w:rPr>
  </w:style>
  <w:style w:type="paragraph" w:styleId="18">
    <w:name w:val="List Paragraph"/>
    <w:basedOn w:val="1"/>
    <w:autoRedefine/>
    <w:qFormat/>
    <w:uiPriority w:val="34"/>
    <w:pPr>
      <w:ind w:firstLine="420" w:firstLineChars="200"/>
    </w:pPr>
  </w:style>
  <w:style w:type="character" w:customStyle="1" w:styleId="19">
    <w:name w:val="first-child"/>
    <w:basedOn w:val="15"/>
    <w:autoRedefine/>
    <w:qFormat/>
    <w:uiPriority w:val="0"/>
    <w:rPr>
      <w:color w:val="999999"/>
    </w:rPr>
  </w:style>
  <w:style w:type="character" w:customStyle="1" w:styleId="20">
    <w:name w:val="first-child1"/>
    <w:basedOn w:val="15"/>
    <w:autoRedefine/>
    <w:qFormat/>
    <w:uiPriority w:val="0"/>
    <w:rPr>
      <w:sz w:val="24"/>
      <w:szCs w:val="24"/>
    </w:rPr>
  </w:style>
  <w:style w:type="character" w:customStyle="1" w:styleId="21">
    <w:name w:val="first-child2"/>
    <w:basedOn w:val="15"/>
    <w:autoRedefine/>
    <w:qFormat/>
    <w:uiPriority w:val="0"/>
    <w:rPr>
      <w:rFonts w:ascii="Arial" w:hAnsi="Arial" w:cs="Arial"/>
      <w:sz w:val="57"/>
      <w:szCs w:val="57"/>
    </w:rPr>
  </w:style>
  <w:style w:type="character" w:customStyle="1" w:styleId="22">
    <w:name w:val="first-child3"/>
    <w:basedOn w:val="15"/>
    <w:autoRedefine/>
    <w:qFormat/>
    <w:uiPriority w:val="0"/>
    <w:rPr>
      <w:sz w:val="24"/>
      <w:szCs w:val="24"/>
    </w:rPr>
  </w:style>
  <w:style w:type="character" w:customStyle="1" w:styleId="23">
    <w:name w:val="after"/>
    <w:basedOn w:val="15"/>
    <w:autoRedefine/>
    <w:qFormat/>
    <w:uiPriority w:val="0"/>
    <w:rPr>
      <w:shd w:val="clear" w:fill="2D4F80"/>
    </w:rPr>
  </w:style>
  <w:style w:type="character" w:customStyle="1" w:styleId="24">
    <w:name w:val="font21"/>
    <w:basedOn w:val="15"/>
    <w:qFormat/>
    <w:uiPriority w:val="0"/>
    <w:rPr>
      <w:rFonts w:hint="eastAsia" w:ascii="宋体" w:hAnsi="宋体" w:eastAsia="宋体" w:cs="宋体"/>
      <w:b/>
      <w:bCs/>
      <w:color w:val="000000"/>
      <w:sz w:val="24"/>
      <w:szCs w:val="24"/>
      <w:u w:val="none"/>
    </w:rPr>
  </w:style>
  <w:style w:type="character" w:customStyle="1" w:styleId="25">
    <w:name w:val="font11"/>
    <w:basedOn w:val="15"/>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1182</Words>
  <Characters>1405</Characters>
  <Lines>0</Lines>
  <Paragraphs>0</Paragraphs>
  <TotalTime>0</TotalTime>
  <ScaleCrop>false</ScaleCrop>
  <LinksUpToDate>false</LinksUpToDate>
  <CharactersWithSpaces>1416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卢松岭</cp:lastModifiedBy>
  <dcterms:modified xsi:type="dcterms:W3CDTF">2025-11-13T03:39:50Z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B5CAB92998D940C9BB34EF2CFE51AD87_13</vt:lpwstr>
  </property>
  <property fmtid="{D5CDD505-2E9C-101B-9397-08002B2CF9AE}" pid="4" name="KSOTemplateDocerSaveRecord">
    <vt:lpwstr>eyJoZGlkIjoiMTUyMDA2ZjQ4N2YyNDAzZWJjY2U2NWNkZDY5ZDY4ZDAiLCJ1c2VySWQiOiIxNTkzMTM1MzcxIn0=</vt:lpwstr>
  </property>
</Properties>
</file>