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3"/>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河南省胸科医院购买第三方机构提供《医务社会工作服务指南》全流程技术服务</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006</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河南省胸科医院购买第三方机构提供《医务社会工作服务指南》全流程技术服务 公开议价公告</w:t>
      </w:r>
    </w:p>
    <w:p w14:paraId="4EA72BC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32D01C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河南省胸科医院购买第三方机构提供《医务社会工作服务指南》全流程技术服务</w:t>
      </w:r>
      <w:r>
        <w:rPr>
          <w:rFonts w:hint="default" w:asciiTheme="minorEastAsia" w:hAnsiTheme="minorEastAsia" w:eastAsiaTheme="minorEastAsia" w:cstheme="minorEastAsia"/>
          <w:color w:val="333333"/>
          <w:sz w:val="24"/>
          <w:szCs w:val="24"/>
        </w:rPr>
        <w:t>。</w:t>
      </w:r>
    </w:p>
    <w:p w14:paraId="32E8F47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3A5BF8CA">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供应商需对《医务社会工作服务指南》地方标准提供从标准草案修改、征求意见、行业预审、技术审查、标准报批等全流程技术服务，顺利通过审查并完成报批。</w:t>
      </w:r>
    </w:p>
    <w:p w14:paraId="0B3CAED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56369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8.5</w:t>
      </w:r>
      <w:r>
        <w:rPr>
          <w:rFonts w:hint="default" w:asciiTheme="minorEastAsia" w:hAnsiTheme="minorEastAsia" w:eastAsiaTheme="minorEastAsia" w:cstheme="minorEastAsia"/>
          <w:color w:val="333333"/>
          <w:sz w:val="24"/>
          <w:szCs w:val="24"/>
        </w:rPr>
        <w:t>万元。</w:t>
      </w:r>
    </w:p>
    <w:p w14:paraId="7F82ACD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401273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D7F06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B9AC0E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EB51F6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1F2AC12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896EF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BD6D5E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4A40E01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141E82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08D261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5CB68E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985E55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6C40F0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7E621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5B7CE3F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6DAFC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07716B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1C5017D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BCF975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2AD255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91CA67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456AA9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CC650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857E99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57C582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CC2CD3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F4068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2C04FE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15A57F8F">
      <w:pPr>
        <w:pStyle w:val="29"/>
        <w:ind w:firstLine="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一、技术要求</w:t>
      </w:r>
    </w:p>
    <w:p w14:paraId="22586497">
      <w:pPr>
        <w:spacing w:line="360" w:lineRule="auto"/>
      </w:pPr>
      <w:r>
        <w:rPr>
          <w:rFonts w:hint="eastAsia" w:asciiTheme="minorEastAsia" w:hAnsiTheme="minorEastAsia" w:cstheme="minorEastAsia"/>
          <w:sz w:val="24"/>
        </w:rPr>
        <w:t>1. 项目目标</w:t>
      </w:r>
    </w:p>
    <w:p w14:paraId="26177E51">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供应商需对《医务社会工作服务指南》地方标准提供从标准草案修改、征求意见、行业预审、技术审查、标准报批等全流程技术服务，顺利通过审查并完成报批。</w:t>
      </w:r>
    </w:p>
    <w:p w14:paraId="3000FF9C">
      <w:pPr>
        <w:numPr>
          <w:ilvl w:val="0"/>
          <w:numId w:val="2"/>
        </w:numPr>
        <w:spacing w:line="360" w:lineRule="auto"/>
        <w:rPr>
          <w:rFonts w:hint="eastAsia" w:asciiTheme="minorEastAsia" w:hAnsiTheme="minorEastAsia" w:cstheme="minorEastAsia"/>
          <w:sz w:val="24"/>
        </w:rPr>
      </w:pPr>
      <w:r>
        <w:rPr>
          <w:rFonts w:hint="eastAsia" w:asciiTheme="minorEastAsia" w:hAnsiTheme="minorEastAsia" w:cstheme="minorEastAsia"/>
          <w:sz w:val="24"/>
        </w:rPr>
        <w:t>服务内容</w:t>
      </w:r>
    </w:p>
    <w:p w14:paraId="01D29F1E">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供应商应完成以下工作：</w:t>
      </w:r>
    </w:p>
    <w:p w14:paraId="2E22BED9">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2.1</w:t>
      </w:r>
      <w:r>
        <w:rPr>
          <w:rFonts w:hint="eastAsia" w:asciiTheme="minorEastAsia" w:hAnsiTheme="minorEastAsia" w:cstheme="minorEastAsia"/>
          <w:sz w:val="24"/>
        </w:rPr>
        <w:t>成立标准工作小组，与采购人协同推进标准研制；</w:t>
      </w:r>
    </w:p>
    <w:p w14:paraId="2B9C70FD">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2.2</w:t>
      </w:r>
      <w:r>
        <w:rPr>
          <w:rFonts w:hint="eastAsia" w:asciiTheme="minorEastAsia" w:hAnsiTheme="minorEastAsia" w:cstheme="minorEastAsia"/>
          <w:sz w:val="24"/>
        </w:rPr>
        <w:t>负责标准草案的起草、修改与完善；</w:t>
      </w:r>
    </w:p>
    <w:p w14:paraId="3BA5900A">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2.3</w:t>
      </w:r>
      <w:r>
        <w:rPr>
          <w:rFonts w:hint="eastAsia" w:asciiTheme="minorEastAsia" w:hAnsiTheme="minorEastAsia" w:cstheme="minorEastAsia"/>
          <w:sz w:val="24"/>
        </w:rPr>
        <w:t>对标准《征求意见稿》、行业《送审稿》、主管部门《送审稿》、《报批稿》四阶段文本格式进行规范整理；</w:t>
      </w:r>
    </w:p>
    <w:p w14:paraId="2CD90289">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2.4</w:t>
      </w:r>
      <w:r>
        <w:rPr>
          <w:rFonts w:hint="eastAsia" w:asciiTheme="minorEastAsia" w:hAnsiTheme="minorEastAsia" w:cstheme="minorEastAsia"/>
          <w:sz w:val="24"/>
        </w:rPr>
        <w:t>编写并完善标准各阶段《编制说明》；</w:t>
      </w:r>
    </w:p>
    <w:p w14:paraId="39D03DEF">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2.5</w:t>
      </w:r>
      <w:r>
        <w:rPr>
          <w:rFonts w:hint="eastAsia" w:asciiTheme="minorEastAsia" w:hAnsiTheme="minorEastAsia" w:cstheme="minorEastAsia"/>
          <w:sz w:val="24"/>
        </w:rPr>
        <w:t>协助组织召开地方标准审查会；</w:t>
      </w:r>
    </w:p>
    <w:p w14:paraId="60E4D791">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2.6</w:t>
      </w:r>
      <w:r>
        <w:rPr>
          <w:rFonts w:hint="eastAsia" w:asciiTheme="minorEastAsia" w:hAnsiTheme="minorEastAsia" w:cstheme="minorEastAsia"/>
          <w:sz w:val="24"/>
        </w:rPr>
        <w:t>协助完成标准的报批手续。</w:t>
      </w:r>
    </w:p>
    <w:p w14:paraId="154D81E7">
      <w:pPr>
        <w:spacing w:line="360" w:lineRule="auto"/>
        <w:rPr>
          <w:rFonts w:hint="eastAsia" w:asciiTheme="minorEastAsia" w:hAnsiTheme="minorEastAsia" w:cstheme="minorEastAsia"/>
          <w:sz w:val="24"/>
        </w:rPr>
      </w:pPr>
      <w:r>
        <w:rPr>
          <w:rFonts w:hint="eastAsia" w:asciiTheme="minorEastAsia" w:hAnsiTheme="minorEastAsia" w:cstheme="minorEastAsia"/>
          <w:sz w:val="24"/>
        </w:rPr>
        <w:t>3. 交付成果</w:t>
      </w:r>
    </w:p>
    <w:p w14:paraId="3B1BA271">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3.1</w:t>
      </w:r>
      <w:r>
        <w:rPr>
          <w:rFonts w:hint="eastAsia" w:asciiTheme="minorEastAsia" w:hAnsiTheme="minorEastAsia" w:cstheme="minorEastAsia"/>
          <w:sz w:val="24"/>
        </w:rPr>
        <w:t>《</w:t>
      </w:r>
      <w:r>
        <w:rPr>
          <w:rFonts w:hint="eastAsia" w:asciiTheme="minorEastAsia" w:hAnsiTheme="minorEastAsia" w:cstheme="minorEastAsia"/>
          <w:sz w:val="24"/>
          <w:lang w:eastAsia="zh-CN"/>
        </w:rPr>
        <w:t>医务社会工作服务指南</w:t>
      </w:r>
      <w:r>
        <w:rPr>
          <w:rFonts w:hint="eastAsia" w:asciiTheme="minorEastAsia" w:hAnsiTheme="minorEastAsia" w:cstheme="minorEastAsia"/>
          <w:sz w:val="24"/>
        </w:rPr>
        <w:t>》标准《征求意见稿》</w:t>
      </w:r>
      <w:r>
        <w:rPr>
          <w:rFonts w:hint="eastAsia" w:asciiTheme="minorEastAsia" w:hAnsiTheme="minorEastAsia" w:cstheme="minorEastAsia"/>
          <w:sz w:val="24"/>
          <w:lang w:eastAsia="zh-CN"/>
        </w:rPr>
        <w:t>、</w:t>
      </w:r>
      <w:r>
        <w:rPr>
          <w:rFonts w:hint="eastAsia" w:asciiTheme="minorEastAsia" w:hAnsiTheme="minorEastAsia" w:cstheme="minorEastAsia"/>
          <w:sz w:val="24"/>
        </w:rPr>
        <w:t>《送审稿》</w:t>
      </w:r>
      <w:r>
        <w:rPr>
          <w:rFonts w:hint="eastAsia" w:asciiTheme="minorEastAsia" w:hAnsiTheme="minorEastAsia" w:cstheme="minorEastAsia"/>
          <w:sz w:val="24"/>
          <w:lang w:eastAsia="zh-CN"/>
        </w:rPr>
        <w:t>、</w:t>
      </w:r>
      <w:r>
        <w:rPr>
          <w:rFonts w:hint="eastAsia" w:asciiTheme="minorEastAsia" w:hAnsiTheme="minorEastAsia" w:cstheme="minorEastAsia"/>
          <w:sz w:val="24"/>
        </w:rPr>
        <w:t>《报批稿》正式文本；</w:t>
      </w:r>
    </w:p>
    <w:p w14:paraId="198DE65E">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3.2</w:t>
      </w:r>
      <w:r>
        <w:rPr>
          <w:rFonts w:hint="eastAsia" w:asciiTheme="minorEastAsia" w:hAnsiTheme="minorEastAsia" w:cstheme="minorEastAsia"/>
          <w:sz w:val="24"/>
        </w:rPr>
        <w:t>各阶段完整的《编制说明》；</w:t>
      </w:r>
    </w:p>
    <w:p w14:paraId="5EB60ED1">
      <w:pPr>
        <w:spacing w:line="360" w:lineRule="auto"/>
        <w:ind w:firstLine="480" w:firstLineChars="200"/>
        <w:rPr>
          <w:rFonts w:hint="eastAsia" w:asciiTheme="minorEastAsia" w:hAnsiTheme="minorEastAsia" w:cstheme="minorEastAsia"/>
          <w:color w:val="auto"/>
          <w:sz w:val="24"/>
        </w:rPr>
      </w:pPr>
      <w:r>
        <w:rPr>
          <w:rFonts w:hint="eastAsia" w:asciiTheme="minorEastAsia" w:hAnsiTheme="minorEastAsia" w:cstheme="minorEastAsia"/>
          <w:sz w:val="24"/>
          <w:lang w:val="en-US" w:eastAsia="zh-CN"/>
        </w:rPr>
        <w:t>3.3</w:t>
      </w:r>
      <w:r>
        <w:rPr>
          <w:rFonts w:hint="eastAsia" w:asciiTheme="minorEastAsia" w:hAnsiTheme="minorEastAsia" w:cstheme="minorEastAsia"/>
          <w:color w:val="auto"/>
          <w:sz w:val="24"/>
        </w:rPr>
        <w:t>标准审查会相关会议纪要、意见汇总处理表等过程文件；</w:t>
      </w:r>
    </w:p>
    <w:p w14:paraId="5587917D">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3.4</w:t>
      </w:r>
      <w:r>
        <w:rPr>
          <w:rFonts w:hint="eastAsia" w:asciiTheme="minorEastAsia" w:hAnsiTheme="minorEastAsia" w:cstheme="minorEastAsia"/>
          <w:sz w:val="24"/>
        </w:rPr>
        <w:t>最终报批全套材料。</w:t>
      </w:r>
    </w:p>
    <w:p w14:paraId="3BD420B1">
      <w:pPr>
        <w:spacing w:line="360" w:lineRule="auto"/>
        <w:rPr>
          <w:rFonts w:hint="eastAsia" w:asciiTheme="minorEastAsia" w:hAnsiTheme="minorEastAsia" w:cstheme="minorEastAsia"/>
          <w:sz w:val="24"/>
        </w:rPr>
      </w:pPr>
      <w:r>
        <w:rPr>
          <w:rFonts w:hint="eastAsia" w:asciiTheme="minorEastAsia" w:hAnsiTheme="minorEastAsia" w:cstheme="minorEastAsia"/>
          <w:sz w:val="24"/>
        </w:rPr>
        <w:t>4. 质量要求</w:t>
      </w:r>
    </w:p>
    <w:p w14:paraId="68D7098B">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4.1</w:t>
      </w:r>
      <w:r>
        <w:rPr>
          <w:rFonts w:hint="eastAsia" w:asciiTheme="minorEastAsia" w:hAnsiTheme="minorEastAsia" w:cstheme="minorEastAsia"/>
          <w:sz w:val="24"/>
        </w:rPr>
        <w:t>标准编写应符合 GB/T 1.1-2020《标准化工作导则》 及相关地方标准管理规定；</w:t>
      </w:r>
    </w:p>
    <w:p w14:paraId="4043AE2C">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4.2</w:t>
      </w:r>
      <w:r>
        <w:rPr>
          <w:rFonts w:hint="eastAsia" w:asciiTheme="minorEastAsia" w:hAnsiTheme="minorEastAsia" w:cstheme="minorEastAsia"/>
          <w:sz w:val="24"/>
        </w:rPr>
        <w:t>确保标准结构完整、表述准确、格式规范；</w:t>
      </w:r>
    </w:p>
    <w:p w14:paraId="038CBC89">
      <w:pPr>
        <w:spacing w:line="360" w:lineRule="auto"/>
        <w:ind w:firstLine="480" w:firstLineChars="200"/>
      </w:pPr>
      <w:r>
        <w:rPr>
          <w:rFonts w:hint="eastAsia" w:asciiTheme="minorEastAsia" w:hAnsiTheme="minorEastAsia" w:cstheme="minorEastAsia"/>
          <w:sz w:val="24"/>
          <w:lang w:val="en-US" w:eastAsia="zh-CN"/>
        </w:rPr>
        <w:t>4.3</w:t>
      </w:r>
      <w:r>
        <w:rPr>
          <w:rFonts w:hint="eastAsia" w:asciiTheme="minorEastAsia" w:hAnsiTheme="minorEastAsia" w:cstheme="minorEastAsia"/>
          <w:sz w:val="24"/>
        </w:rPr>
        <w:t>具备组织协调专家审查会的能力。</w:t>
      </w:r>
    </w:p>
    <w:p w14:paraId="351655F8">
      <w:pPr>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供应商资格要求</w:t>
      </w:r>
    </w:p>
    <w:p w14:paraId="5863C025">
      <w:pPr>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5.1</w:t>
      </w:r>
      <w:r>
        <w:rPr>
          <w:rFonts w:hint="eastAsia" w:asciiTheme="minorEastAsia" w:hAnsiTheme="minorEastAsia" w:cstheme="minorEastAsia"/>
          <w:color w:val="auto"/>
          <w:sz w:val="24"/>
        </w:rPr>
        <w:t>具有地方标准立项评估、地方标准技术审查、市场类标准“双随机、一公开”监督抽查等工作或服务经历（须提供证明文件）</w:t>
      </w:r>
      <w:r>
        <w:rPr>
          <w:rFonts w:hint="eastAsia" w:asciiTheme="minorEastAsia" w:hAnsiTheme="minorEastAsia" w:cstheme="minorEastAsia"/>
          <w:color w:val="auto"/>
          <w:sz w:val="24"/>
          <w:lang w:val="en-US" w:eastAsia="zh-CN"/>
        </w:rPr>
        <w:t>;</w:t>
      </w:r>
    </w:p>
    <w:p w14:paraId="559592A5">
      <w:pPr>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5.2</w:t>
      </w:r>
      <w:r>
        <w:rPr>
          <w:rFonts w:hint="eastAsia" w:asciiTheme="minorEastAsia" w:hAnsiTheme="minorEastAsia" w:cstheme="minorEastAsia"/>
          <w:color w:val="auto"/>
          <w:sz w:val="24"/>
        </w:rPr>
        <w:t>承担过省级或以上地方标准、行业标准研制项目（需提供合同或成果证明）</w:t>
      </w:r>
      <w:r>
        <w:rPr>
          <w:rFonts w:hint="eastAsia" w:asciiTheme="minorEastAsia" w:hAnsiTheme="minorEastAsia" w:cstheme="minorEastAsia"/>
          <w:color w:val="auto"/>
          <w:sz w:val="24"/>
          <w:lang w:val="en-US" w:eastAsia="zh-CN"/>
        </w:rPr>
        <w:t>,</w:t>
      </w:r>
      <w:r>
        <w:rPr>
          <w:rFonts w:hint="eastAsia" w:asciiTheme="minorEastAsia" w:hAnsiTheme="minorEastAsia" w:cstheme="minorEastAsia"/>
          <w:color w:val="auto"/>
          <w:sz w:val="24"/>
        </w:rPr>
        <w:t>且近三年内至少成功完成过1项省/市级地方标准的编制并获批准发布的全流程服务项目（须提供证明文件）</w:t>
      </w:r>
      <w:r>
        <w:rPr>
          <w:rFonts w:hint="eastAsia" w:asciiTheme="minorEastAsia" w:hAnsiTheme="minorEastAsia" w:cstheme="minorEastAsia"/>
          <w:color w:val="auto"/>
          <w:sz w:val="24"/>
          <w:lang w:val="en-US" w:eastAsia="zh-CN"/>
        </w:rPr>
        <w:t>;</w:t>
      </w:r>
    </w:p>
    <w:p w14:paraId="0F554F58">
      <w:pPr>
        <w:numPr>
          <w:ilvl w:val="0"/>
          <w:numId w:val="0"/>
        </w:numPr>
        <w:spacing w:line="360" w:lineRule="auto"/>
        <w:rPr>
          <w:rFonts w:hint="eastAsia" w:asciiTheme="minorEastAsia" w:hAnsi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rPr>
        <w:t>服务团队要求</w:t>
      </w:r>
    </w:p>
    <w:p w14:paraId="45CD347E">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6.1</w:t>
      </w:r>
      <w:r>
        <w:rPr>
          <w:rFonts w:hint="eastAsia" w:asciiTheme="minorEastAsia" w:hAnsiTheme="minorEastAsia" w:cstheme="minorEastAsia"/>
          <w:sz w:val="24"/>
        </w:rPr>
        <w:t>需成立项目小组，明确项目负责人、技术负责人及联络人；</w:t>
      </w:r>
    </w:p>
    <w:p w14:paraId="6C1BA42F">
      <w:pPr>
        <w:spacing w:line="360" w:lineRule="auto"/>
        <w:ind w:firstLine="480" w:firstLineChars="200"/>
      </w:pPr>
      <w:r>
        <w:rPr>
          <w:rFonts w:hint="eastAsia" w:asciiTheme="minorEastAsia" w:hAnsiTheme="minorEastAsia" w:cstheme="minorEastAsia"/>
          <w:sz w:val="24"/>
          <w:lang w:val="en-US" w:eastAsia="zh-CN"/>
        </w:rPr>
        <w:t>6.2</w:t>
      </w:r>
      <w:r>
        <w:rPr>
          <w:rFonts w:hint="eastAsia" w:asciiTheme="minorEastAsia" w:hAnsiTheme="minorEastAsia" w:cstheme="minorEastAsia"/>
          <w:sz w:val="24"/>
        </w:rPr>
        <w:t>团队中应包含熟悉标准编写、行业内容及审查流程的专业人员。</w:t>
      </w:r>
    </w:p>
    <w:p w14:paraId="745CE418">
      <w:pPr>
        <w:numPr>
          <w:ilvl w:val="0"/>
          <w:numId w:val="3"/>
        </w:numPr>
        <w:spacing w:line="360" w:lineRule="auto"/>
        <w:rPr>
          <w:rFonts w:hint="eastAsia" w:asciiTheme="minorEastAsia" w:hAnsiTheme="minorEastAsia" w:cstheme="minorEastAsia"/>
          <w:sz w:val="24"/>
        </w:rPr>
      </w:pPr>
      <w:r>
        <w:rPr>
          <w:rFonts w:hint="eastAsia" w:asciiTheme="minorEastAsia" w:hAnsiTheme="minorEastAsia" w:cstheme="minorEastAsia"/>
          <w:sz w:val="24"/>
        </w:rPr>
        <w:t>采购范围</w:t>
      </w:r>
    </w:p>
    <w:p w14:paraId="0FE8F282">
      <w:pPr>
        <w:numPr>
          <w:ilvl w:val="0"/>
          <w:numId w:val="0"/>
        </w:num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7.1</w:t>
      </w:r>
      <w:r>
        <w:rPr>
          <w:rFonts w:hint="eastAsia" w:asciiTheme="minorEastAsia" w:hAnsiTheme="minorEastAsia" w:cstheme="minorEastAsia"/>
          <w:sz w:val="24"/>
        </w:rPr>
        <w:t>全流程项目管理与专业支撑：组建团队，负责标准文本的修改、格式规范化及各阶段编制说明的撰写。</w:t>
      </w:r>
    </w:p>
    <w:p w14:paraId="68780154">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7.2</w:t>
      </w:r>
      <w:r>
        <w:rPr>
          <w:rFonts w:hint="eastAsia" w:asciiTheme="minorEastAsia" w:hAnsiTheme="minorEastAsia" w:cstheme="minorEastAsia"/>
          <w:sz w:val="24"/>
        </w:rPr>
        <w:t>关键环节组织协调：协助采购人组织召开行业预审会、地方标准技术审查会等关键会议，并处理专家意见。</w:t>
      </w:r>
    </w:p>
    <w:p w14:paraId="4E62CB8B">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7.3</w:t>
      </w:r>
      <w:r>
        <w:rPr>
          <w:rFonts w:hint="eastAsia" w:asciiTheme="minorEastAsia" w:hAnsiTheme="minorEastAsia" w:cstheme="minorEastAsia"/>
          <w:sz w:val="24"/>
        </w:rPr>
        <w:t>完整成果交付：按阶段交付符合规范的标准《征求意见稿》</w:t>
      </w:r>
      <w:r>
        <w:rPr>
          <w:rFonts w:hint="eastAsia" w:asciiTheme="minorEastAsia" w:hAnsiTheme="minorEastAsia" w:cstheme="minorEastAsia"/>
          <w:sz w:val="24"/>
          <w:lang w:eastAsia="zh-CN"/>
        </w:rPr>
        <w:t>、</w:t>
      </w:r>
      <w:r>
        <w:rPr>
          <w:rFonts w:hint="eastAsia" w:asciiTheme="minorEastAsia" w:hAnsiTheme="minorEastAsia" w:cstheme="minorEastAsia"/>
          <w:sz w:val="24"/>
        </w:rPr>
        <w:t>《送审稿》</w:t>
      </w:r>
      <w:r>
        <w:rPr>
          <w:rFonts w:hint="eastAsia" w:asciiTheme="minorEastAsia" w:hAnsiTheme="minorEastAsia" w:cstheme="minorEastAsia"/>
          <w:sz w:val="24"/>
          <w:lang w:eastAsia="zh-CN"/>
        </w:rPr>
        <w:t>、</w:t>
      </w:r>
      <w:r>
        <w:rPr>
          <w:rFonts w:hint="eastAsia" w:asciiTheme="minorEastAsia" w:hAnsiTheme="minorEastAsia" w:cstheme="minorEastAsia"/>
          <w:sz w:val="24"/>
        </w:rPr>
        <w:t>《报批稿》及其编制说明、审查会议纪要、意见汇总处理表等全套过程与最终报批材料。</w:t>
      </w:r>
    </w:p>
    <w:p w14:paraId="75FFF16B">
      <w:pPr>
        <w:pStyle w:val="29"/>
        <w:ind w:firstLine="0"/>
        <w:rPr>
          <w:rFonts w:hint="eastAsia" w:asciiTheme="minorEastAsia" w:hAnsiTheme="minorEastAsia" w:cstheme="minorEastAsia"/>
          <w:sz w:val="24"/>
        </w:rPr>
      </w:pPr>
      <w:r>
        <w:rPr>
          <w:rFonts w:hint="eastAsia" w:asciiTheme="minorEastAsia" w:hAnsiTheme="minorEastAsia" w:eastAsiaTheme="minorEastAsia" w:cstheme="minorEastAsia"/>
          <w:b/>
          <w:bCs/>
          <w:sz w:val="24"/>
        </w:rPr>
        <w:t>二、商务要求</w:t>
      </w:r>
    </w:p>
    <w:p w14:paraId="3AB08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lang w:val="en-US" w:eastAsia="zh-CN"/>
        </w:rPr>
      </w:pPr>
      <w:r>
        <w:rPr>
          <w:rFonts w:hint="eastAsia" w:asciiTheme="minorEastAsia" w:hAnsiTheme="minorEastAsia" w:cstheme="minorEastAsia"/>
          <w:sz w:val="24"/>
          <w:lang w:val="en-US" w:eastAsia="zh-CN"/>
        </w:rPr>
        <w:t>1.特定资格：无</w:t>
      </w:r>
    </w:p>
    <w:p w14:paraId="328D6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lang w:val="en-US" w:eastAsia="zh-CN"/>
        </w:rPr>
        <w:t>2</w:t>
      </w:r>
      <w:r>
        <w:rPr>
          <w:rFonts w:hint="eastAsia" w:asciiTheme="minorEastAsia" w:hAnsiTheme="minorEastAsia" w:cstheme="minorEastAsia"/>
          <w:sz w:val="24"/>
        </w:rPr>
        <w:t>.质量标准：符合国家、行业技术标准。</w:t>
      </w:r>
    </w:p>
    <w:p w14:paraId="37CAF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lang w:val="en-US" w:eastAsia="zh-CN"/>
        </w:rPr>
        <w:t>3</w:t>
      </w:r>
      <w:r>
        <w:rPr>
          <w:rFonts w:hint="eastAsia" w:asciiTheme="minorEastAsia" w:hAnsiTheme="minorEastAsia" w:cstheme="minorEastAsia"/>
          <w:sz w:val="24"/>
        </w:rPr>
        <w:t>.服务期限：合同签订之日起，服务期1年。</w:t>
      </w:r>
    </w:p>
    <w:p w14:paraId="3E28A6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.履约保证金：</w:t>
      </w:r>
      <w:r>
        <w:rPr>
          <w:rFonts w:hint="eastAsia" w:asciiTheme="minorEastAsia" w:hAnsiTheme="minorEastAsia" w:cstheme="minorEastAsia"/>
          <w:b w:val="0"/>
          <w:bCs w:val="0"/>
          <w:color w:val="auto"/>
          <w:sz w:val="24"/>
          <w:szCs w:val="24"/>
          <w:lang w:eastAsia="zh-CN"/>
        </w:rPr>
        <w:t>不</w:t>
      </w:r>
      <w:r>
        <w:rPr>
          <w:rFonts w:hint="eastAsia" w:asciiTheme="minorEastAsia" w:hAnsiTheme="minorEastAsia" w:eastAsiaTheme="minorEastAsia" w:cstheme="minorEastAsia"/>
          <w:b w:val="0"/>
          <w:bCs w:val="0"/>
          <w:color w:val="auto"/>
          <w:sz w:val="24"/>
          <w:szCs w:val="24"/>
          <w:lang w:eastAsia="zh-CN"/>
        </w:rPr>
        <w:t>收取</w:t>
      </w:r>
      <w:r>
        <w:rPr>
          <w:rFonts w:hint="eastAsia" w:asciiTheme="minorEastAsia" w:hAnsiTheme="minorEastAsia" w:cstheme="minorEastAsia"/>
          <w:b w:val="0"/>
          <w:bCs w:val="0"/>
          <w:color w:val="auto"/>
          <w:sz w:val="24"/>
          <w:szCs w:val="24"/>
          <w:lang w:eastAsia="zh-CN"/>
        </w:rPr>
        <w:t>。</w:t>
      </w:r>
    </w:p>
    <w:p w14:paraId="301C4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.付款方式</w:t>
      </w:r>
      <w:r>
        <w:rPr>
          <w:rFonts w:hint="eastAsia" w:asciiTheme="minorEastAsia" w:hAnsiTheme="minorEastAsia" w:cstheme="minorEastAsia"/>
          <w:sz w:val="24"/>
          <w:lang w:eastAsia="zh-CN"/>
        </w:rPr>
        <w:t>：</w:t>
      </w:r>
      <w:r>
        <w:rPr>
          <w:rFonts w:hint="eastAsia" w:asciiTheme="minorEastAsia" w:hAnsiTheme="minorEastAsia" w:cstheme="minorEastAsia"/>
          <w:sz w:val="24"/>
        </w:rPr>
        <w:t>合同签订后10个工作日内，预付总金额</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0%；全部项目成果交付并经最终书面确认后，院方于10个工作日内支付余款。</w:t>
      </w:r>
    </w:p>
    <w:p w14:paraId="18CF2E01">
      <w:pPr>
        <w:rPr>
          <w:rFonts w:hint="eastAsia"/>
          <w:b/>
          <w:sz w:val="32"/>
          <w:szCs w:val="32"/>
        </w:rPr>
      </w:pPr>
    </w:p>
    <w:p w14:paraId="6C23E068">
      <w:pPr>
        <w:pStyle w:val="2"/>
        <w:rPr>
          <w:rFonts w:hint="eastAsia"/>
          <w:b/>
          <w:sz w:val="32"/>
          <w:szCs w:val="32"/>
        </w:rPr>
      </w:pPr>
    </w:p>
    <w:p w14:paraId="3306D0A3">
      <w:pPr>
        <w:rPr>
          <w:rFonts w:hint="eastAsia"/>
          <w:b/>
          <w:sz w:val="32"/>
          <w:szCs w:val="32"/>
        </w:rPr>
      </w:pPr>
    </w:p>
    <w:p w14:paraId="33D48A0A">
      <w:pPr>
        <w:pStyle w:val="2"/>
        <w:rPr>
          <w:rFonts w:hint="eastAsia"/>
        </w:rPr>
      </w:pPr>
    </w:p>
    <w:p w14:paraId="337FC637">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11890"/>
      <w:bookmarkStart w:id="9" w:name="_Toc26111"/>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 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1728"/>
      <w:bookmarkStart w:id="18" w:name="_Toc8953"/>
      <w:bookmarkStart w:id="19" w:name="_Toc3266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7"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注：1、总报价超过</w:t>
      </w:r>
      <w:r>
        <w:rPr>
          <w:rFonts w:hint="eastAsia" w:cs="宋体"/>
          <w:b w:val="0"/>
          <w:bCs w:val="0"/>
          <w:color w:val="auto"/>
          <w:kern w:val="0"/>
          <w:sz w:val="21"/>
          <w:szCs w:val="21"/>
          <w:highlight w:val="none"/>
          <w:lang w:val="en-US" w:eastAsia="zh-CN"/>
        </w:rPr>
        <w:t>预</w:t>
      </w:r>
      <w:bookmarkStart w:id="53" w:name="_GoBack"/>
      <w:bookmarkEnd w:id="53"/>
      <w:r>
        <w:rPr>
          <w:rFonts w:hint="eastAsia" w:cs="宋体"/>
          <w:b w:val="0"/>
          <w:bCs w:val="0"/>
          <w:color w:val="auto"/>
          <w:kern w:val="0"/>
          <w:sz w:val="21"/>
          <w:szCs w:val="21"/>
          <w:highlight w:val="none"/>
          <w:lang w:val="en-US" w:eastAsia="zh-CN"/>
        </w:rPr>
        <w:t>算价</w:t>
      </w:r>
      <w:r>
        <w:rPr>
          <w:rFonts w:hint="eastAsia" w:ascii="宋体" w:hAnsi="宋体" w:cs="宋体"/>
          <w:b w:val="0"/>
          <w:bCs w:val="0"/>
          <w:color w:val="auto"/>
          <w:kern w:val="0"/>
          <w:sz w:val="21"/>
          <w:szCs w:val="21"/>
          <w:highlight w:val="none"/>
          <w:lang w:val="en-US" w:eastAsia="zh-CN"/>
        </w:rPr>
        <w:t>按无效响应处理</w:t>
      </w:r>
      <w:r>
        <w:rPr>
          <w:rFonts w:hint="eastAsia" w:cs="宋体"/>
          <w:b w:val="0"/>
          <w:bCs/>
          <w:color w:val="auto"/>
          <w:sz w:val="21"/>
          <w:szCs w:val="21"/>
          <w:highlight w:val="none"/>
          <w:lang w:eastAsia="zh-CN"/>
        </w:rPr>
        <w:t>。</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5"/>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1" w:name="_Toc11982"/>
      <w:bookmarkStart w:id="32"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2"/>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3" w:name="_Toc23816"/>
      <w:bookmarkStart w:id="34"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5" w:name="_Toc2922"/>
      <w:bookmarkStart w:id="36" w:name="_Toc4948"/>
      <w:bookmarkStart w:id="37" w:name="_Toc4599"/>
      <w:bookmarkStart w:id="38" w:name="_Toc349642319"/>
      <w:bookmarkStart w:id="39" w:name="_Toc10750"/>
      <w:bookmarkStart w:id="40" w:name="_Toc15867"/>
      <w:bookmarkStart w:id="41" w:name="_Toc29526"/>
      <w:bookmarkStart w:id="42" w:name="_Toc28583"/>
      <w:bookmarkStart w:id="43" w:name="_Toc30765"/>
      <w:bookmarkStart w:id="44" w:name="_Toc337475928"/>
      <w:bookmarkStart w:id="45" w:name="_Toc304219331"/>
      <w:bookmarkStart w:id="46" w:name="_Toc12801"/>
      <w:bookmarkStart w:id="47" w:name="_Toc320878714"/>
      <w:bookmarkStart w:id="48" w:name="_Toc337554798"/>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2"/>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2"/>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1B2F36D"/>
    <w:multiLevelType w:val="singleLevel"/>
    <w:tmpl w:val="61B2F36D"/>
    <w:lvl w:ilvl="0" w:tentative="0">
      <w:start w:val="7"/>
      <w:numFmt w:val="decimal"/>
      <w:lvlText w:val="%1."/>
      <w:lvlJc w:val="left"/>
      <w:pPr>
        <w:tabs>
          <w:tab w:val="left" w:pos="312"/>
        </w:tabs>
      </w:pPr>
    </w:lvl>
  </w:abstractNum>
  <w:abstractNum w:abstractNumId="4">
    <w:nsid w:val="6C5E32AF"/>
    <w:multiLevelType w:val="singleLevel"/>
    <w:tmpl w:val="6C5E32AF"/>
    <w:lvl w:ilvl="0" w:tentative="0">
      <w:start w:val="2"/>
      <w:numFmt w:val="decimal"/>
      <w:suff w:val="space"/>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55E4792"/>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D6110"/>
    <w:rsid w:val="661F327C"/>
    <w:rsid w:val="66707F47"/>
    <w:rsid w:val="66CB0814"/>
    <w:rsid w:val="66D6776C"/>
    <w:rsid w:val="67137614"/>
    <w:rsid w:val="673F4A35"/>
    <w:rsid w:val="674F7003"/>
    <w:rsid w:val="67996643"/>
    <w:rsid w:val="68223A04"/>
    <w:rsid w:val="687666C7"/>
    <w:rsid w:val="68836CDF"/>
    <w:rsid w:val="689A077C"/>
    <w:rsid w:val="6916144E"/>
    <w:rsid w:val="696760A9"/>
    <w:rsid w:val="6A7439FA"/>
    <w:rsid w:val="6AB53050"/>
    <w:rsid w:val="6B507DB9"/>
    <w:rsid w:val="6B627EBE"/>
    <w:rsid w:val="6C313409"/>
    <w:rsid w:val="6C672F85"/>
    <w:rsid w:val="6C71333F"/>
    <w:rsid w:val="6C93391D"/>
    <w:rsid w:val="6D3C2F82"/>
    <w:rsid w:val="6D873BF4"/>
    <w:rsid w:val="6D9D7AAA"/>
    <w:rsid w:val="6DAC7BB0"/>
    <w:rsid w:val="6DB815C9"/>
    <w:rsid w:val="6DF345E6"/>
    <w:rsid w:val="6E5F07A0"/>
    <w:rsid w:val="6E7166FC"/>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3"/>
    <w:autoRedefine/>
    <w:qFormat/>
    <w:uiPriority w:val="9"/>
    <w:rPr>
      <w:b/>
      <w:bCs/>
      <w:kern w:val="44"/>
      <w:sz w:val="44"/>
      <w:szCs w:val="44"/>
    </w:rPr>
  </w:style>
  <w:style w:type="character" w:customStyle="1" w:styleId="46">
    <w:name w:val="标题 2 Char"/>
    <w:basedOn w:val="33"/>
    <w:link w:val="2"/>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34</Pages>
  <Words>6320</Words>
  <Characters>6578</Characters>
  <Lines>315</Lines>
  <Paragraphs>88</Paragraphs>
  <TotalTime>0</TotalTime>
  <ScaleCrop>false</ScaleCrop>
  <LinksUpToDate>false</LinksUpToDate>
  <CharactersWithSpaces>7159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2026-01-28T02:23:14Z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A894A9E9D84940B7B0507F05BFF9FEC7_13</vt:lpwstr>
  </property>
  <property fmtid="{D5CDD505-2E9C-101B-9397-08002B2CF9AE}" pid="4" name="KSOTemplateDocerSaveRecord">
    <vt:lpwstr>eyJoZGlkIjoiMTUyMDA2ZjQ4N2YyNDAzZWJjY2U2NWNkZDY5ZDY4ZDAiLCJ1c2VySWQiOiIxNTkzMTM1MzcxIn0=</vt:lpwstr>
  </property>
</Properties>
</file>