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0B128A3D">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lang w:eastAsia="zh-CN"/>
        </w:rPr>
        <w:t>河南省胸科医院溴化锂直燃机空调机组移机安装项目</w:t>
      </w: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9"/>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w:t>
      </w:r>
      <w:r>
        <w:rPr>
          <w:rFonts w:hint="eastAsia" w:ascii="宋体" w:hAnsi="宋体" w:cs="宋体"/>
          <w:b/>
          <w:sz w:val="32"/>
          <w:highlight w:val="none"/>
        </w:rPr>
        <w:t>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011</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4517BEEC">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010727D6">
      <w:pPr>
        <w:jc w:val="center"/>
        <w:rPr>
          <w:rFonts w:ascii="宋体" w:hAnsi="宋体"/>
          <w:b/>
          <w:sz w:val="10"/>
          <w:szCs w:val="10"/>
        </w:rPr>
      </w:pPr>
    </w:p>
    <w:p w14:paraId="446094D6">
      <w:pPr>
        <w:pStyle w:val="2"/>
        <w:keepNext w:val="0"/>
        <w:keepLines w:val="0"/>
        <w:widowControl/>
        <w:suppressLineNumbers w:val="0"/>
        <w:spacing w:before="0" w:beforeAutospacing="0" w:after="0" w:afterAutospacing="0"/>
        <w:ind w:left="0" w:right="0"/>
        <w:jc w:val="center"/>
        <w:rPr>
          <w:rFonts w:hint="eastAsia" w:ascii="宋体" w:hAnsi="宋体"/>
          <w:b/>
          <w:sz w:val="28"/>
          <w:szCs w:val="28"/>
          <w:lang w:eastAsia="zh-CN"/>
        </w:rPr>
      </w:pPr>
      <w:r>
        <w:rPr>
          <w:rFonts w:hint="eastAsia" w:ascii="宋体" w:hAnsi="宋体"/>
          <w:b/>
          <w:sz w:val="28"/>
          <w:szCs w:val="28"/>
          <w:lang w:eastAsia="zh-CN"/>
        </w:rPr>
        <w:t>河南省胸科医院溴化锂直燃机空调机组移机安装项目</w:t>
      </w:r>
    </w:p>
    <w:p w14:paraId="11716E89">
      <w:pPr>
        <w:pStyle w:val="2"/>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河南省胸科医院溴化锂直燃机空调机组移机安装项目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溴化锂直燃机空调机组移机安装</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项目预算人民币</w:t>
      </w:r>
      <w:r>
        <w:rPr>
          <w:rFonts w:hint="eastAsia" w:ascii="宋体" w:hAnsi="宋体" w:cs="宋体"/>
          <w:sz w:val="28"/>
          <w:szCs w:val="28"/>
          <w:lang w:val="en-US" w:eastAsia="zh-CN"/>
        </w:rPr>
        <w:t>498000，</w:t>
      </w:r>
      <w:r>
        <w:rPr>
          <w:rFonts w:hint="eastAsia" w:asciiTheme="minorEastAsia" w:hAnsiTheme="minorEastAsia" w:eastAsiaTheme="minorEastAsia" w:cstheme="minorEastAsia"/>
          <w:color w:val="333333"/>
          <w:sz w:val="24"/>
          <w:szCs w:val="24"/>
        </w:rPr>
        <w:t>最高限价</w:t>
      </w:r>
      <w:r>
        <w:rPr>
          <w:rFonts w:hint="default" w:asciiTheme="minorEastAsia" w:hAnsiTheme="minorEastAsia" w:eastAsiaTheme="minorEastAsia" w:cstheme="minorEastAsia"/>
          <w:color w:val="333333"/>
          <w:sz w:val="24"/>
          <w:szCs w:val="24"/>
        </w:rPr>
        <w:t>人民币</w:t>
      </w:r>
      <w:r>
        <w:rPr>
          <w:rFonts w:hint="eastAsia" w:ascii="宋体" w:hAnsi="宋体" w:cs="宋体"/>
          <w:sz w:val="28"/>
          <w:szCs w:val="28"/>
          <w:highlight w:val="none"/>
          <w:lang w:val="en-US" w:eastAsia="zh-CN"/>
        </w:rPr>
        <w:t>496282.89</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宋体" w:hAnsi="宋体" w:eastAsia="宋体" w:cs="宋体"/>
          <w:spacing w:val="7"/>
          <w:sz w:val="24"/>
          <w:szCs w:val="24"/>
          <w:highlight w:val="none"/>
          <w:lang w:bidi="ar"/>
        </w:rPr>
        <w:t>须具有国家建设行政主管部门颁发的</w:t>
      </w:r>
      <w:r>
        <w:rPr>
          <w:rFonts w:hint="eastAsia" w:ascii="宋体" w:hAnsi="宋体" w:cs="宋体"/>
          <w:sz w:val="24"/>
          <w:szCs w:val="24"/>
          <w:highlight w:val="none"/>
        </w:rPr>
        <w:t>机电工程施工总承包叁级及以上或建筑机电安装工程专业承包叁级及以上资质，具有有效的安全生产许可证</w:t>
      </w:r>
      <w:r>
        <w:rPr>
          <w:rFonts w:hint="default" w:asciiTheme="minorEastAsia" w:hAnsiTheme="minorEastAsia" w:eastAsiaTheme="minorEastAsia" w:cstheme="minorEastAsia"/>
          <w:color w:val="333333"/>
          <w:sz w:val="24"/>
          <w:szCs w:val="24"/>
          <w:highlight w:val="none"/>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宋体" w:hAnsi="宋体" w:cs="宋体"/>
          <w:sz w:val="24"/>
          <w:szCs w:val="24"/>
          <w:highlight w:val="none"/>
        </w:rPr>
        <w:t>拟派项目经理须具有机电工程专业贰级及以上注册建造师资格，具备有效的安全生产考核合格证书，且未担任其他在施建设工程项目</w:t>
      </w:r>
      <w:r>
        <w:rPr>
          <w:rFonts w:hint="default" w:asciiTheme="minorEastAsia" w:hAnsiTheme="minorEastAsia" w:eastAsiaTheme="minorEastAsia" w:cstheme="minorEastAsia"/>
          <w:color w:val="333333"/>
          <w:sz w:val="24"/>
          <w:szCs w:val="24"/>
          <w:highlight w:val="none"/>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（四）本项目不接受联合体参与</w:t>
      </w:r>
      <w:r>
        <w:rPr>
          <w:rFonts w:hint="default" w:asciiTheme="minorEastAsia" w:hAnsiTheme="minorEastAsia" w:eastAsiaTheme="minorEastAsia" w:cstheme="minorEastAsia"/>
          <w:color w:val="333333"/>
          <w:sz w:val="24"/>
          <w:szCs w:val="24"/>
        </w:rPr>
        <w:t>。</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bookmarkStart w:id="57" w:name="_GoBack"/>
      <w:bookmarkEnd w:id="57"/>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7555B42">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8"/>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9"/>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9"/>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3634C465">
      <w:pPr>
        <w:keepNext w:val="0"/>
        <w:keepLines w:val="0"/>
        <w:pageBreakBefore w:val="0"/>
        <w:numPr>
          <w:ilvl w:val="0"/>
          <w:numId w:val="0"/>
        </w:numPr>
        <w:kinsoku/>
        <w:wordWrap/>
        <w:overflowPunct/>
        <w:topLinePunct w:val="0"/>
        <w:bidi w:val="0"/>
        <w:adjustRightInd/>
        <w:snapToGrid/>
        <w:spacing w:line="400" w:lineRule="exact"/>
        <w:ind w:left="0" w:leftChars="0" w:firstLine="482" w:firstLineChars="200"/>
        <w:jc w:val="left"/>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一、技术要求</w:t>
      </w:r>
    </w:p>
    <w:p w14:paraId="6B9246B1">
      <w:pPr>
        <w:pStyle w:val="29"/>
        <w:keepNext w:val="0"/>
        <w:keepLines w:val="0"/>
        <w:pageBreakBefore w:val="0"/>
        <w:widowControl w:val="0"/>
        <w:numPr>
          <w:ilvl w:val="0"/>
          <w:numId w:val="0"/>
        </w:numPr>
        <w:tabs>
          <w:tab w:val="left" w:pos="5593"/>
        </w:tabs>
        <w:kinsoku/>
        <w:wordWrap/>
        <w:overflowPunct/>
        <w:topLinePunct w:val="0"/>
        <w:autoSpaceDE/>
        <w:autoSpaceDN/>
        <w:bidi w:val="0"/>
        <w:adjustRightInd/>
        <w:snapToGrid/>
        <w:spacing w:after="0" w:line="440" w:lineRule="exact"/>
        <w:ind w:left="0" w:lef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none"/>
          <w:lang w:val="en-US" w:eastAsia="zh-CN"/>
        </w:rPr>
        <w:t>1.工程概况：</w:t>
      </w:r>
      <w:r>
        <w:rPr>
          <w:rFonts w:hint="eastAsia" w:ascii="宋体" w:hAnsi="宋体" w:eastAsia="宋体" w:cs="宋体"/>
          <w:b/>
          <w:bCs/>
          <w:color w:val="auto"/>
          <w:sz w:val="24"/>
          <w:szCs w:val="24"/>
          <w:highlight w:val="none"/>
          <w:lang w:val="en-US" w:eastAsia="zh-CN"/>
        </w:rPr>
        <w:tab/>
      </w:r>
    </w:p>
    <w:p w14:paraId="79F7D3FC">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项目概述：</w:t>
      </w:r>
      <w:r>
        <w:rPr>
          <w:rFonts w:hint="eastAsia" w:ascii="宋体" w:hAnsi="宋体" w:eastAsia="宋体" w:cs="宋体"/>
          <w:sz w:val="24"/>
          <w:szCs w:val="24"/>
        </w:rPr>
        <w:t>由于</w:t>
      </w:r>
      <w:r>
        <w:rPr>
          <w:rFonts w:hint="eastAsia" w:ascii="宋体" w:hAnsi="宋体" w:eastAsia="宋体" w:cs="宋体"/>
          <w:sz w:val="24"/>
          <w:szCs w:val="24"/>
          <w:lang w:eastAsia="zh-CN"/>
        </w:rPr>
        <w:t>医院</w:t>
      </w:r>
      <w:r>
        <w:rPr>
          <w:rFonts w:hint="eastAsia" w:ascii="宋体" w:hAnsi="宋体" w:eastAsia="宋体" w:cs="宋体"/>
          <w:sz w:val="24"/>
          <w:szCs w:val="24"/>
        </w:rPr>
        <w:t>发展需要需拆除既有直燃机房，把直燃机房内既有300万大卡的直燃机迁</w:t>
      </w:r>
      <w:r>
        <w:rPr>
          <w:rFonts w:hint="eastAsia" w:ascii="宋体" w:hAnsi="宋体" w:eastAsia="宋体" w:cs="宋体"/>
          <w:sz w:val="24"/>
          <w:szCs w:val="24"/>
          <w:lang w:eastAsia="zh-CN"/>
        </w:rPr>
        <w:t>移至</w:t>
      </w:r>
      <w:r>
        <w:rPr>
          <w:rFonts w:hint="eastAsia" w:ascii="宋体" w:hAnsi="宋体" w:eastAsia="宋体" w:cs="宋体"/>
          <w:sz w:val="24"/>
          <w:szCs w:val="24"/>
        </w:rPr>
        <w:t>新建直燃机房内，新建直燃机房位于新建内科综合楼地下二层。</w:t>
      </w:r>
      <w:r>
        <w:rPr>
          <w:rFonts w:hint="eastAsia" w:ascii="宋体" w:hAnsi="宋体" w:eastAsia="宋体" w:cs="宋体"/>
          <w:sz w:val="24"/>
          <w:szCs w:val="24"/>
          <w:lang w:eastAsia="zh-CN"/>
        </w:rPr>
        <w:t>移机</w:t>
      </w:r>
      <w:r>
        <w:rPr>
          <w:rFonts w:hint="eastAsia" w:ascii="宋体" w:hAnsi="宋体" w:eastAsia="宋体" w:cs="宋体"/>
          <w:sz w:val="24"/>
          <w:szCs w:val="24"/>
        </w:rPr>
        <w:t>完成后，须对迁</w:t>
      </w:r>
      <w:r>
        <w:rPr>
          <w:rFonts w:hint="eastAsia" w:ascii="宋体" w:hAnsi="宋体" w:eastAsia="宋体" w:cs="宋体"/>
          <w:sz w:val="24"/>
          <w:szCs w:val="24"/>
          <w:lang w:eastAsia="zh-CN"/>
        </w:rPr>
        <w:t>移</w:t>
      </w:r>
      <w:r>
        <w:rPr>
          <w:rFonts w:hint="eastAsia" w:ascii="宋体" w:hAnsi="宋体" w:eastAsia="宋体" w:cs="宋体"/>
          <w:sz w:val="24"/>
          <w:szCs w:val="24"/>
        </w:rPr>
        <w:t>过程中必须采取的分离措施或其它措施进行恢复，达到正常开机运行需求，与直燃机房内新建直燃机并联运行，满足医院中央空调及卫生热水正常使用需求。</w:t>
      </w:r>
    </w:p>
    <w:p w14:paraId="6D3CEA81">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工作范围：</w:t>
      </w:r>
    </w:p>
    <w:p w14:paraId="6E335784">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设备拆除：拆除原机房东墙3.5m×4m门洞及外围墙体，对直燃机机组进行安全拆卸、分体化处理；主体、高发均微正压运输，压力值为+0.02MPa。 </w:t>
      </w:r>
    </w:p>
    <w:p w14:paraId="1CE99B1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溴化锂溶液处理及回灌：对机组溶液实施静置及过滤措施，并抽样化验，达到厂家标准后回灌.</w:t>
      </w:r>
    </w:p>
    <w:p w14:paraId="3FECCA9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系统拆除：同步拆除与机组连接的外部管道（含空调冷温水、冷却水、卫生热水、燃气管道）、电气线路、烟道、软接、阀门及燃烧机、电气控制系统等附属设备。</w:t>
      </w:r>
    </w:p>
    <w:p w14:paraId="4DD5044C">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部件处理：对拆卸部件进行编号标记、防护包装，避免运输过程中碰撞或倾斜；精密部件（如燃烧机、真空泵、溴化锂溶液储罐）需单独运输。</w:t>
      </w:r>
    </w:p>
    <w:p w14:paraId="37C8D31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设备迁移：由专业安装公司采用防震运输及专业吊装设备完成机组移位，确保设备安全。</w:t>
      </w:r>
    </w:p>
    <w:p w14:paraId="2855F976">
      <w:pPr>
        <w:pStyle w:val="16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主体高发合拢：合拢台号配对正确（台号标识位置：机组正面主管板中部及高发后烟箱右上角）</w:t>
      </w:r>
      <w:r>
        <w:rPr>
          <w:rFonts w:hint="eastAsia" w:ascii="宋体" w:hAnsi="宋体" w:eastAsia="宋体" w:cs="宋体"/>
          <w:sz w:val="24"/>
          <w:szCs w:val="24"/>
          <w:lang w:eastAsia="zh-CN"/>
        </w:rPr>
        <w:t>，</w:t>
      </w:r>
      <w:r>
        <w:rPr>
          <w:rFonts w:hint="eastAsia" w:ascii="宋体" w:hAnsi="宋体" w:eastAsia="宋体" w:cs="宋体"/>
          <w:sz w:val="24"/>
          <w:szCs w:val="24"/>
        </w:rPr>
        <w:t>基础垫实</w:t>
      </w:r>
      <w:r>
        <w:rPr>
          <w:rFonts w:hint="eastAsia" w:ascii="宋体" w:hAnsi="宋体" w:eastAsia="宋体" w:cs="宋体"/>
          <w:sz w:val="24"/>
          <w:szCs w:val="24"/>
          <w:lang w:eastAsia="zh-CN"/>
        </w:rPr>
        <w:t>，</w:t>
      </w:r>
      <w:r>
        <w:rPr>
          <w:rFonts w:hint="eastAsia" w:ascii="宋体" w:hAnsi="宋体" w:eastAsia="宋体" w:cs="宋体"/>
          <w:sz w:val="24"/>
          <w:szCs w:val="24"/>
        </w:rPr>
        <w:t>部件对接间隙</w:t>
      </w:r>
      <w:r>
        <w:rPr>
          <w:rFonts w:hint="eastAsia" w:ascii="宋体" w:hAnsi="宋体" w:eastAsia="宋体" w:cs="宋体"/>
          <w:sz w:val="24"/>
          <w:szCs w:val="24"/>
        </w:rPr>
        <w:sym w:font="Symbol" w:char="F03C"/>
      </w:r>
      <w:r>
        <w:rPr>
          <w:rFonts w:hint="eastAsia" w:ascii="宋体" w:hAnsi="宋体" w:eastAsia="宋体" w:cs="宋体"/>
          <w:sz w:val="24"/>
          <w:szCs w:val="24"/>
        </w:rPr>
        <w:t>1.5mm</w:t>
      </w:r>
      <w:r>
        <w:rPr>
          <w:rFonts w:hint="eastAsia" w:ascii="宋体" w:hAnsi="宋体" w:eastAsia="宋体" w:cs="宋体"/>
          <w:sz w:val="24"/>
          <w:szCs w:val="24"/>
          <w:lang w:eastAsia="zh-CN"/>
        </w:rPr>
        <w:t>，</w:t>
      </w:r>
      <w:r>
        <w:rPr>
          <w:rFonts w:hint="eastAsia" w:ascii="宋体" w:hAnsi="宋体" w:eastAsia="宋体" w:cs="宋体"/>
          <w:sz w:val="24"/>
          <w:szCs w:val="24"/>
        </w:rPr>
        <w:t>目测焊缝无气孔、未熔合、咬边、夹渣等缺陷。</w:t>
      </w:r>
    </w:p>
    <w:p w14:paraId="5C33CC7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安装调试：迁</w:t>
      </w:r>
      <w:r>
        <w:rPr>
          <w:rFonts w:hint="eastAsia" w:ascii="宋体" w:hAnsi="宋体" w:eastAsia="宋体" w:cs="宋体"/>
          <w:sz w:val="24"/>
          <w:szCs w:val="24"/>
          <w:lang w:eastAsia="zh-CN"/>
        </w:rPr>
        <w:t>移</w:t>
      </w:r>
      <w:r>
        <w:rPr>
          <w:rFonts w:hint="eastAsia" w:ascii="宋体" w:hAnsi="宋体" w:eastAsia="宋体" w:cs="宋体"/>
          <w:sz w:val="24"/>
          <w:szCs w:val="24"/>
        </w:rPr>
        <w:t>前对新建直燃机房内影响安装的设备设施进行拆除，迁</w:t>
      </w:r>
      <w:r>
        <w:rPr>
          <w:rFonts w:hint="eastAsia" w:ascii="宋体" w:hAnsi="宋体" w:eastAsia="宋体" w:cs="宋体"/>
          <w:sz w:val="24"/>
          <w:szCs w:val="24"/>
          <w:lang w:eastAsia="zh-CN"/>
        </w:rPr>
        <w:t>移</w:t>
      </w:r>
      <w:r>
        <w:rPr>
          <w:rFonts w:hint="eastAsia" w:ascii="宋体" w:hAnsi="宋体" w:eastAsia="宋体" w:cs="宋体"/>
          <w:sz w:val="24"/>
          <w:szCs w:val="24"/>
        </w:rPr>
        <w:t>设备就位后进行水平校正（误差≤0.8/1000），完成拆除设备设施的恢复、主机合拢、正负压密封性测试、溶液回灌、机组钝化、燃烧机安装复位、电气线路恢复；重新连接外部空调冷热水管道、卫生热水管道、燃料管道、机组配电、烟道及阀门，进行系统调试与试运行（保护装置测试及满负荷运行验证）。</w:t>
      </w:r>
    </w:p>
    <w:p w14:paraId="7568B897">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bookmarkStart w:id="1" w:name="_Toc240603025"/>
      <w:r>
        <w:rPr>
          <w:rFonts w:hint="eastAsia" w:ascii="宋体" w:hAnsi="宋体" w:eastAsia="宋体" w:cs="宋体"/>
          <w:sz w:val="24"/>
          <w:szCs w:val="24"/>
        </w:rPr>
        <w:t>安装完成后，设备及设施满足与新建直燃机放系统并联运行的要求，且满足后期与医院智能楼宇智控对接的功能要求</w:t>
      </w:r>
      <w:bookmarkEnd w:id="1"/>
      <w:r>
        <w:rPr>
          <w:rFonts w:hint="eastAsia" w:ascii="宋体" w:hAnsi="宋体" w:eastAsia="宋体" w:cs="宋体"/>
          <w:sz w:val="24"/>
          <w:szCs w:val="24"/>
        </w:rPr>
        <w:t>，包括</w:t>
      </w:r>
    </w:p>
    <w:p w14:paraId="5A2DA4C3">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——通过对设备的监控，系统将完成如下功能：</w:t>
      </w:r>
    </w:p>
    <w:p w14:paraId="0D74EF88">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——监测机组的运行状态、故障信号报警、手自动状态，并控制启停；</w:t>
      </w:r>
    </w:p>
    <w:p w14:paraId="2FA7F2EF">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——实现机组对水泵，冷却塔水系统设备的联动控制运行。</w:t>
      </w:r>
    </w:p>
    <w:p w14:paraId="240DCCE1">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技术标准与要求 </w:t>
      </w:r>
    </w:p>
    <w:p w14:paraId="727331D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（1)拆卸与安装</w:t>
      </w:r>
    </w:p>
    <w:p w14:paraId="01963374">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管道接口：所有接口需编号标记，复装时实现零误差对接，</w:t>
      </w:r>
      <w:bookmarkStart w:id="2" w:name="OLE_LINK5"/>
      <w:r>
        <w:rPr>
          <w:rFonts w:hint="eastAsia" w:ascii="宋体" w:hAnsi="宋体" w:eastAsia="宋体" w:cs="宋体"/>
          <w:sz w:val="24"/>
          <w:szCs w:val="24"/>
        </w:rPr>
        <w:t>目测焊缝无气孔、未熔合、咬边、夹渣等缺陷</w:t>
      </w:r>
      <w:bookmarkEnd w:id="2"/>
      <w:bookmarkStart w:id="3" w:name="OLE_LINK4"/>
      <w:bookmarkStart w:id="4" w:name="OLE_LINK3"/>
      <w:r>
        <w:rPr>
          <w:rFonts w:hint="eastAsia" w:ascii="宋体" w:hAnsi="宋体" w:eastAsia="宋体" w:cs="宋体"/>
          <w:sz w:val="24"/>
          <w:szCs w:val="24"/>
        </w:rPr>
        <w:t>、气密性测试焊缝处无冒泡、泄漏</w:t>
      </w:r>
      <w:bookmarkEnd w:id="3"/>
      <w:bookmarkEnd w:id="4"/>
      <w:r>
        <w:rPr>
          <w:rFonts w:hint="eastAsia" w:ascii="宋体" w:hAnsi="宋体" w:eastAsia="宋体" w:cs="宋体"/>
          <w:sz w:val="24"/>
          <w:szCs w:val="24"/>
        </w:rPr>
        <w:t>。</w:t>
      </w:r>
    </w:p>
    <w:p w14:paraId="1EC1BEBB">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溴化锂溶液：溴化锂溶液回灌后添加收集和灌注，溶液过滤和缓蚀剂的添加，确保溶液合格并有原厂家溴化锂溶液检测合格报告。</w:t>
      </w:r>
    </w:p>
    <w:p w14:paraId="7D502CD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注：收集溶液容器须为防腐蚀性专业容器（如 PP 材质密封桶），容器需张贴“溴化锂溶液专用”标识，避免污染。</w:t>
      </w:r>
    </w:p>
    <w:p w14:paraId="2132DC8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基础制作验收：新机房基础需满足设备安装及承重要求，基础水平度＜1.5‰ 。</w:t>
      </w:r>
    </w:p>
    <w:p w14:paraId="06F34571">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部件防护：精密部件（如真空泵、溴化锂溶液、）单独包装运输，避免振动或挤压损伤。</w:t>
      </w:r>
    </w:p>
    <w:p w14:paraId="764531E5">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高发主体防护：运输过程严格检查压力值变化。若运输过程中发生高发主体出现内部撕裂、器件损坏，需要立即进行修复。</w:t>
      </w:r>
    </w:p>
    <w:p w14:paraId="16E1CE17">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修复与配件要求：迁</w:t>
      </w:r>
      <w:r>
        <w:rPr>
          <w:rFonts w:hint="eastAsia" w:ascii="宋体" w:hAnsi="宋体" w:eastAsia="宋体" w:cs="宋体"/>
          <w:sz w:val="24"/>
          <w:szCs w:val="24"/>
          <w:lang w:eastAsia="zh-CN"/>
        </w:rPr>
        <w:t>移</w:t>
      </w:r>
      <w:r>
        <w:rPr>
          <w:rFonts w:hint="eastAsia" w:ascii="宋体" w:hAnsi="宋体" w:eastAsia="宋体" w:cs="宋体"/>
          <w:sz w:val="24"/>
          <w:szCs w:val="24"/>
        </w:rPr>
        <w:t>过程中如发生高发或主体内部撕裂、核心器件损坏，修复须按以下标准执行：​</w:t>
      </w:r>
    </w:p>
    <w:p w14:paraId="50FD8C0B">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——核心功能件损坏须更换原设备厂同型号配件（需提供原厂采购凭证、合格证），如燃烧机、换热波纹板片、内置密封腔体、换热管、配套温度传感器、后烟箱、耐火装置、靶流开关、触摸屏、控制柜等。​</w:t>
      </w:r>
    </w:p>
    <w:p w14:paraId="0982A5D0">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用辅助件损坏可使用符合国标/行标的合格配件，但需提供配件《合格证》或《质量检测报告》（检测项目含材质、尺寸公差，与原厂配件参数一致），如外部压力接口、压力表、固定螺栓、非密封类盖板；​</w:t>
      </w:r>
    </w:p>
    <w:p w14:paraId="024F288E">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注：修复工作须由原厂技术人员操作，之后须进行压力测试及换性能验证，测试合格后方可继续安装。​</w:t>
      </w:r>
    </w:p>
    <w:p w14:paraId="188495BD">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——调试关键指标：</w:t>
      </w:r>
      <w:r>
        <w:rPr>
          <w:rFonts w:hint="eastAsia" w:ascii="宋体" w:hAnsi="宋体" w:eastAsia="宋体" w:cs="宋体"/>
          <w:sz w:val="24"/>
          <w:szCs w:val="24"/>
        </w:rPr>
        <w:tab/>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3109"/>
        <w:gridCol w:w="3371"/>
      </w:tblGrid>
      <w:tr w14:paraId="6BB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noWrap w:val="0"/>
            <w:vAlign w:val="top"/>
          </w:tcPr>
          <w:p w14:paraId="7D2860DF">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3109" w:type="dxa"/>
            <w:noWrap w:val="0"/>
            <w:vAlign w:val="top"/>
          </w:tcPr>
          <w:p w14:paraId="2B9321A7">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标准要求</w:t>
            </w:r>
            <w:r>
              <w:rPr>
                <w:rFonts w:hint="eastAsia" w:ascii="宋体" w:hAnsi="宋体" w:eastAsia="宋体" w:cs="宋体"/>
                <w:sz w:val="24"/>
                <w:szCs w:val="24"/>
              </w:rPr>
              <w:tab/>
            </w:r>
          </w:p>
        </w:tc>
        <w:tc>
          <w:tcPr>
            <w:tcW w:w="3371" w:type="dxa"/>
            <w:noWrap w:val="0"/>
            <w:vAlign w:val="top"/>
          </w:tcPr>
          <w:p w14:paraId="4FAD2287">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检测方法</w:t>
            </w:r>
          </w:p>
        </w:tc>
      </w:tr>
      <w:tr w14:paraId="7101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noWrap w:val="0"/>
            <w:vAlign w:val="top"/>
          </w:tcPr>
          <w:p w14:paraId="5B085A71">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整机真空密封性测试</w:t>
            </w:r>
          </w:p>
        </w:tc>
        <w:tc>
          <w:tcPr>
            <w:tcW w:w="3109" w:type="dxa"/>
            <w:noWrap w:val="0"/>
            <w:vAlign w:val="top"/>
          </w:tcPr>
          <w:p w14:paraId="4990884E">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≤1000Pa（48小时保压无泄漏）</w:t>
            </w:r>
          </w:p>
        </w:tc>
        <w:tc>
          <w:tcPr>
            <w:tcW w:w="3371" w:type="dxa"/>
            <w:noWrap w:val="0"/>
            <w:vAlign w:val="top"/>
          </w:tcPr>
          <w:p w14:paraId="5EF6B5E9">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真空计检测</w:t>
            </w:r>
          </w:p>
        </w:tc>
      </w:tr>
      <w:tr w14:paraId="7CAF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34" w:type="dxa"/>
            <w:noWrap w:val="0"/>
            <w:vAlign w:val="top"/>
          </w:tcPr>
          <w:p w14:paraId="27F48F11">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抽真空性能</w:t>
            </w:r>
          </w:p>
        </w:tc>
        <w:tc>
          <w:tcPr>
            <w:tcW w:w="3109" w:type="dxa"/>
            <w:noWrap w:val="0"/>
            <w:vAlign w:val="top"/>
          </w:tcPr>
          <w:p w14:paraId="7D8659F5">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极限真空≤100Pa</w:t>
            </w:r>
          </w:p>
        </w:tc>
        <w:tc>
          <w:tcPr>
            <w:tcW w:w="3371" w:type="dxa"/>
            <w:noWrap w:val="0"/>
            <w:vAlign w:val="top"/>
          </w:tcPr>
          <w:p w14:paraId="0170B32B">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真空泵性能测试</w:t>
            </w:r>
          </w:p>
        </w:tc>
      </w:tr>
      <w:tr w14:paraId="7590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34" w:type="dxa"/>
            <w:noWrap w:val="0"/>
            <w:vAlign w:val="top"/>
          </w:tcPr>
          <w:p w14:paraId="1ABBD00D">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负载运行稳定性</w:t>
            </w:r>
          </w:p>
        </w:tc>
        <w:tc>
          <w:tcPr>
            <w:tcW w:w="3109" w:type="dxa"/>
            <w:noWrap w:val="0"/>
            <w:vAlign w:val="top"/>
          </w:tcPr>
          <w:p w14:paraId="2E1089B9">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负载运行稳定性</w:t>
            </w:r>
          </w:p>
        </w:tc>
        <w:tc>
          <w:tcPr>
            <w:tcW w:w="3371" w:type="dxa"/>
            <w:noWrap w:val="0"/>
            <w:vAlign w:val="top"/>
          </w:tcPr>
          <w:p w14:paraId="4B1EDCC2">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记录温度、压力、电流曲线</w:t>
            </w:r>
          </w:p>
        </w:tc>
      </w:tr>
      <w:tr w14:paraId="186E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34" w:type="dxa"/>
            <w:noWrap w:val="0"/>
            <w:vAlign w:val="top"/>
          </w:tcPr>
          <w:p w14:paraId="0403FCB4">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燃烧机二次调试</w:t>
            </w:r>
          </w:p>
        </w:tc>
        <w:tc>
          <w:tcPr>
            <w:tcW w:w="3109" w:type="dxa"/>
            <w:noWrap w:val="0"/>
            <w:vAlign w:val="top"/>
          </w:tcPr>
          <w:p w14:paraId="75905849">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满足氮氧化物排放标准（NOX≤30mg/Nm³）</w:t>
            </w:r>
          </w:p>
        </w:tc>
        <w:tc>
          <w:tcPr>
            <w:tcW w:w="3371" w:type="dxa"/>
            <w:noWrap w:val="0"/>
            <w:vAlign w:val="top"/>
          </w:tcPr>
          <w:p w14:paraId="730BD1DF">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超低氮烟气分析仪</w:t>
            </w:r>
          </w:p>
        </w:tc>
      </w:tr>
    </w:tbl>
    <w:p w14:paraId="5237832F">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调试合格标准</w:t>
      </w:r>
    </w:p>
    <w:p w14:paraId="0D4BEB7D">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（1）设备完成合拢后，设备电气控制、远程操作界面、远程监控平台恢复正常，电气元器件反应灵敏无延迟卡顿。</w:t>
      </w:r>
    </w:p>
    <w:p w14:paraId="604E89F7">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（2）机组启动自检无报警，连续 72 小时满负荷运行无停机；</w:t>
      </w:r>
    </w:p>
    <w:p w14:paraId="078E4E3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（3）各保护装置（断水、燃料压力、排气温度）动作精准，断水保护响应时间≤5 秒，燃料压力异常时立即停机，排气温度超设计值 5℃时触发报警；</w:t>
      </w:r>
    </w:p>
    <w:p w14:paraId="7AE9FDB4">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（4）真空密封性≤1000Pa（48 小时保压无泄漏），抽真空性能达极限真空≤100Pa，</w:t>
      </w:r>
    </w:p>
    <w:p w14:paraId="5D522FFD">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（5）燃烧机氮氧化物排放符合 GB 13271-2014《锅炉大气污染物排放标准》中超低氮排放要求（NOX≤30mg/Nm³）。</w:t>
      </w:r>
    </w:p>
    <w:p w14:paraId="0525256B">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安全与规范</w:t>
      </w:r>
    </w:p>
    <w:p w14:paraId="7AE9D22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——《溴化锂吸收式冷（温）水机组安全要求》（GB18361）</w:t>
      </w:r>
    </w:p>
    <w:p w14:paraId="20546BA8">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——《直燃型溴化锂吸收式冷（温）水机组》（GB18362)</w:t>
      </w:r>
    </w:p>
    <w:p w14:paraId="7351B5CD">
      <w:pPr>
        <w:pStyle w:val="2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工程量清单</w:t>
      </w:r>
      <w:r>
        <w:rPr>
          <w:rFonts w:hint="eastAsia" w:ascii="宋体" w:hAnsi="宋体" w:eastAsia="宋体" w:cs="宋体"/>
          <w:b/>
          <w:bCs/>
          <w:color w:val="auto"/>
          <w:sz w:val="24"/>
          <w:szCs w:val="24"/>
          <w:lang w:val="en-US" w:eastAsia="zh-CN"/>
        </w:rPr>
        <w:t>( 另附 ）</w:t>
      </w:r>
    </w:p>
    <w:p w14:paraId="338ABDBD">
      <w:pPr>
        <w:pStyle w:val="2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图纸电子版</w:t>
      </w:r>
      <w:r>
        <w:rPr>
          <w:rFonts w:hint="eastAsia" w:ascii="宋体" w:hAnsi="宋体" w:eastAsia="宋体" w:cs="宋体"/>
          <w:b/>
          <w:bCs/>
          <w:color w:val="auto"/>
          <w:sz w:val="24"/>
          <w:szCs w:val="24"/>
          <w:lang w:val="en-US" w:eastAsia="zh-CN"/>
        </w:rPr>
        <w:t>( 另附 ）</w:t>
      </w:r>
    </w:p>
    <w:p w14:paraId="6075F3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lang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.招标控制价清单（</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另附</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w:t>
      </w:r>
    </w:p>
    <w:p w14:paraId="0DDE5FE4">
      <w:pPr>
        <w:keepNext w:val="0"/>
        <w:keepLines w:val="0"/>
        <w:pageBreakBefore w:val="0"/>
        <w:kinsoku/>
        <w:wordWrap/>
        <w:overflowPunct/>
        <w:topLinePunct w:val="0"/>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二、商务要求</w:t>
      </w:r>
    </w:p>
    <w:p w14:paraId="068F786E">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1.特定资格：  </w:t>
      </w:r>
    </w:p>
    <w:p w14:paraId="621A06B4">
      <w:pPr>
        <w:spacing w:line="480" w:lineRule="exact"/>
        <w:ind w:firstLine="508" w:firstLineChars="200"/>
        <w:rPr>
          <w:rFonts w:ascii="宋体" w:hAnsi="宋体" w:cs="宋体"/>
          <w:sz w:val="24"/>
          <w:szCs w:val="24"/>
        </w:rPr>
      </w:pPr>
      <w:r>
        <w:rPr>
          <w:rFonts w:hint="eastAsia" w:cs="宋体"/>
          <w:spacing w:val="7"/>
          <w:sz w:val="24"/>
          <w:szCs w:val="24"/>
          <w:lang w:val="en-US" w:eastAsia="zh-CN" w:bidi="ar"/>
        </w:rPr>
        <w:t>（1）</w:t>
      </w:r>
      <w:r>
        <w:rPr>
          <w:rFonts w:hint="eastAsia" w:ascii="宋体" w:hAnsi="宋体" w:eastAsia="宋体" w:cs="宋体"/>
          <w:spacing w:val="7"/>
          <w:sz w:val="24"/>
          <w:szCs w:val="24"/>
          <w:lang w:bidi="ar"/>
        </w:rPr>
        <w:t>须具有国家建设行政主管部门颁发的</w:t>
      </w:r>
      <w:r>
        <w:rPr>
          <w:rFonts w:hint="eastAsia" w:ascii="宋体" w:hAnsi="宋体" w:cs="宋体"/>
          <w:sz w:val="24"/>
          <w:szCs w:val="24"/>
        </w:rPr>
        <w:t>机电工程施工总承包叁级及以上或建筑机电安装工程专业承包叁级及以上资质，具有有效的安全生产许可证；</w:t>
      </w:r>
    </w:p>
    <w:p w14:paraId="3EAAA477">
      <w:pPr>
        <w:spacing w:line="480" w:lineRule="exact"/>
        <w:ind w:firstLine="508" w:firstLineChars="200"/>
        <w:rPr>
          <w:rFonts w:hint="eastAsia" w:ascii="宋体" w:hAnsi="宋体" w:eastAsia="宋体" w:cs="宋体"/>
          <w:b/>
          <w:bCs/>
          <w:color w:val="auto"/>
          <w:sz w:val="24"/>
          <w:szCs w:val="24"/>
        </w:rPr>
      </w:pPr>
      <w:r>
        <w:rPr>
          <w:rFonts w:hint="eastAsia" w:cs="宋体"/>
          <w:spacing w:val="7"/>
          <w:sz w:val="24"/>
          <w:szCs w:val="24"/>
          <w:lang w:val="en-US" w:eastAsia="zh-CN" w:bidi="ar"/>
        </w:rPr>
        <w:t>（2）</w:t>
      </w:r>
      <w:r>
        <w:rPr>
          <w:rFonts w:hint="eastAsia" w:ascii="宋体" w:hAnsi="宋体" w:cs="宋体"/>
          <w:sz w:val="24"/>
          <w:szCs w:val="24"/>
        </w:rPr>
        <w:t>拟派项目经理须具有机电工程专业贰级及以上注册建造师资格，具备有效的安全生产考核合格证书，且未担任其他在施建设工程项目；</w:t>
      </w:r>
      <w:r>
        <w:rPr>
          <w:rFonts w:hint="eastAsia" w:ascii="宋体" w:hAnsi="宋体" w:eastAsia="宋体" w:cs="宋体"/>
          <w:b/>
          <w:bCs/>
          <w:color w:val="auto"/>
          <w:sz w:val="24"/>
          <w:szCs w:val="24"/>
        </w:rPr>
        <w:t xml:space="preserve">                      </w:t>
      </w:r>
    </w:p>
    <w:p w14:paraId="3655C49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工期：</w:t>
      </w:r>
      <w:r>
        <w:rPr>
          <w:rFonts w:hint="eastAsia" w:ascii="宋体" w:hAnsi="宋体" w:cs="宋体"/>
          <w:b/>
          <w:bCs/>
          <w:color w:val="auto"/>
          <w:sz w:val="24"/>
          <w:szCs w:val="24"/>
          <w:lang w:val="en-US" w:eastAsia="zh-CN"/>
        </w:rPr>
        <w:t xml:space="preserve"> 60</w:t>
      </w:r>
      <w:r>
        <w:rPr>
          <w:rFonts w:hint="eastAsia" w:ascii="宋体" w:hAnsi="宋体" w:eastAsia="宋体" w:cs="宋体"/>
          <w:b w:val="0"/>
          <w:bCs w:val="0"/>
          <w:color w:val="auto"/>
          <w:sz w:val="24"/>
          <w:szCs w:val="24"/>
          <w:lang w:val="en-US" w:eastAsia="zh-CN"/>
        </w:rPr>
        <w:t>日历天</w:t>
      </w:r>
    </w:p>
    <w:p w14:paraId="3120306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400" w:lineRule="exact"/>
        <w:ind w:left="0" w:leftChars="0" w:right="0" w:rightChars="0" w:firstLine="482"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质量标准：</w:t>
      </w:r>
      <w:r>
        <w:rPr>
          <w:rFonts w:hint="eastAsia" w:ascii="宋体" w:hAnsi="宋体" w:eastAsia="宋体" w:cs="宋体"/>
          <w:b w:val="0"/>
          <w:bCs w:val="0"/>
          <w:color w:val="auto"/>
          <w:sz w:val="24"/>
          <w:szCs w:val="24"/>
          <w:u w:val="single"/>
          <w:lang w:eastAsia="zh-CN"/>
        </w:rPr>
        <w:t>合格</w:t>
      </w:r>
      <w:r>
        <w:rPr>
          <w:rFonts w:hint="eastAsia" w:ascii="宋体" w:hAnsi="宋体" w:eastAsia="宋体" w:cs="宋体"/>
          <w:b w:val="0"/>
          <w:bCs w:val="0"/>
          <w:color w:val="auto"/>
          <w:sz w:val="24"/>
          <w:szCs w:val="24"/>
          <w:lang w:eastAsia="zh-CN"/>
        </w:rPr>
        <w:t>。</w:t>
      </w:r>
    </w:p>
    <w:p w14:paraId="6AE1DB3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400" w:lineRule="exact"/>
        <w:ind w:left="239" w:leftChars="114" w:right="0" w:rightChars="0"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质保期：</w:t>
      </w:r>
      <w:r>
        <w:rPr>
          <w:rFonts w:hint="eastAsia" w:ascii="宋体" w:hAnsi="宋体" w:eastAsia="宋体" w:cs="宋体"/>
          <w:color w:val="000000" w:themeColor="text1"/>
          <w:sz w:val="24"/>
          <w:szCs w:val="24"/>
          <w:lang w:val="en-US" w:eastAsia="zh-CN"/>
          <w14:textFill>
            <w14:solidFill>
              <w14:schemeClr w14:val="tx1"/>
            </w14:solidFill>
          </w14:textFill>
        </w:rPr>
        <w:t xml:space="preserve">工程验收合格经批准移交之日不少于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年（供应商需明确具体年数）。</w:t>
      </w:r>
    </w:p>
    <w:p w14:paraId="7BAF3E03">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履约保证金</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highlight w:val="none"/>
          <w:u w:val="single"/>
          <w:lang w:eastAsia="zh-CN"/>
        </w:rPr>
        <w:t>无</w:t>
      </w:r>
    </w:p>
    <w:p w14:paraId="1B9AF111">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.付款方式：</w:t>
      </w:r>
    </w:p>
    <w:p w14:paraId="0EE04D2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z w:val="24"/>
          <w:szCs w:val="24"/>
        </w:rPr>
      </w:pPr>
      <w:r>
        <w:rPr>
          <w:rFonts w:hint="eastAsia" w:ascii="宋体" w:hAnsi="宋体" w:cs="宋体"/>
          <w:color w:val="000000" w:themeColor="text1"/>
          <w:sz w:val="24"/>
          <w:szCs w:val="24"/>
          <w:lang w:val="en-US" w:eastAsia="zh-CN"/>
          <w14:textFill>
            <w14:solidFill>
              <w14:schemeClr w14:val="tx1"/>
            </w14:solidFill>
          </w14:textFill>
        </w:rPr>
        <w:t>①</w:t>
      </w:r>
      <w:r>
        <w:rPr>
          <w:rFonts w:hint="eastAsia" w:ascii="宋体" w:hAnsi="宋体" w:eastAsia="宋体" w:cs="宋体"/>
          <w:bCs/>
          <w:sz w:val="24"/>
          <w:szCs w:val="24"/>
        </w:rPr>
        <w:t>项目竣工</w:t>
      </w:r>
      <w:r>
        <w:rPr>
          <w:rFonts w:hint="eastAsia" w:ascii="宋体" w:hAnsi="宋体" w:eastAsia="宋体" w:cs="宋体"/>
          <w:bCs/>
          <w:sz w:val="24"/>
          <w:szCs w:val="24"/>
          <w:lang w:eastAsia="zh-CN"/>
        </w:rPr>
        <w:t>，</w:t>
      </w:r>
      <w:r>
        <w:rPr>
          <w:rFonts w:hint="eastAsia" w:ascii="宋体" w:hAnsi="宋体" w:cs="宋体"/>
          <w:bCs/>
          <w:sz w:val="24"/>
          <w:szCs w:val="24"/>
          <w:lang w:eastAsia="zh-CN"/>
        </w:rPr>
        <w:t>发包方</w:t>
      </w:r>
      <w:r>
        <w:rPr>
          <w:rFonts w:hint="eastAsia" w:ascii="宋体" w:hAnsi="宋体" w:eastAsia="宋体" w:cs="宋体"/>
          <w:b w:val="0"/>
          <w:bCs/>
          <w:color w:val="auto"/>
          <w:kern w:val="2"/>
          <w:sz w:val="24"/>
          <w:szCs w:val="24"/>
          <w:highlight w:val="none"/>
          <w:u w:val="none"/>
          <w:lang w:val="en-US" w:eastAsia="zh-CN" w:bidi="ar-SA"/>
        </w:rPr>
        <w:t>验收合格后，</w:t>
      </w:r>
      <w:r>
        <w:rPr>
          <w:rFonts w:hint="eastAsia" w:ascii="宋体" w:hAnsi="宋体" w:eastAsia="宋体" w:cs="宋体"/>
          <w:bCs/>
          <w:sz w:val="24"/>
          <w:szCs w:val="24"/>
        </w:rPr>
        <w:t>付至工程造价（合同价）的</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0%；</w:t>
      </w:r>
    </w:p>
    <w:p w14:paraId="7BFFE683">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z w:val="24"/>
          <w:szCs w:val="24"/>
        </w:rPr>
      </w:pPr>
      <w:r>
        <w:rPr>
          <w:rFonts w:hint="eastAsia" w:ascii="宋体" w:hAnsi="宋体" w:cs="宋体"/>
          <w:color w:val="000000" w:themeColor="text1"/>
          <w:sz w:val="24"/>
          <w:szCs w:val="24"/>
          <w:lang w:val="en-US" w:eastAsia="zh-CN"/>
          <w14:textFill>
            <w14:solidFill>
              <w14:schemeClr w14:val="tx1"/>
            </w14:solidFill>
          </w14:textFill>
        </w:rPr>
        <w:t>②</w:t>
      </w:r>
      <w:r>
        <w:rPr>
          <w:rFonts w:hint="eastAsia" w:ascii="宋体" w:hAnsi="宋体" w:eastAsia="宋体" w:cs="宋体"/>
          <w:bCs/>
          <w:sz w:val="24"/>
          <w:szCs w:val="24"/>
        </w:rPr>
        <w:t>竣工结算审计完毕后，付至工程竣工结算审计价款的97%；</w:t>
      </w:r>
    </w:p>
    <w:p w14:paraId="488B8432">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bCs/>
          <w:sz w:val="24"/>
          <w:szCs w:val="24"/>
        </w:rPr>
      </w:pPr>
      <w:r>
        <w:rPr>
          <w:rFonts w:hint="eastAsia" w:ascii="宋体" w:hAnsi="宋体" w:cs="宋体"/>
          <w:color w:val="000000" w:themeColor="text1"/>
          <w:sz w:val="24"/>
          <w:szCs w:val="24"/>
          <w:lang w:val="en-US" w:eastAsia="zh-CN"/>
          <w14:textFill>
            <w14:solidFill>
              <w14:schemeClr w14:val="tx1"/>
            </w14:solidFill>
          </w14:textFill>
        </w:rPr>
        <w:t>③</w:t>
      </w:r>
      <w:r>
        <w:rPr>
          <w:rFonts w:hint="eastAsia" w:ascii="宋体" w:hAnsi="宋体" w:eastAsia="宋体" w:cs="宋体"/>
          <w:bCs/>
          <w:sz w:val="24"/>
          <w:szCs w:val="24"/>
        </w:rPr>
        <w:t>剩余工程竣工结算审计价款的3%作为质保金，质保期满后无质量问题</w:t>
      </w:r>
      <w:r>
        <w:rPr>
          <w:rFonts w:hint="eastAsia" w:ascii="宋体" w:hAnsi="宋体" w:cs="宋体"/>
          <w:bCs/>
          <w:sz w:val="24"/>
          <w:szCs w:val="24"/>
          <w:lang w:val="en-US" w:eastAsia="zh-CN"/>
        </w:rPr>
        <w:t>1</w:t>
      </w:r>
      <w:r>
        <w:rPr>
          <w:rFonts w:hint="eastAsia" w:ascii="宋体" w:hAnsi="宋体" w:eastAsia="宋体" w:cs="宋体"/>
          <w:bCs/>
          <w:sz w:val="24"/>
          <w:szCs w:val="24"/>
        </w:rPr>
        <w:t>次性</w:t>
      </w:r>
      <w:r>
        <w:rPr>
          <w:rFonts w:hint="eastAsia" w:ascii="宋体" w:hAnsi="宋体" w:eastAsia="宋体" w:cs="宋体"/>
          <w:bCs/>
          <w:sz w:val="24"/>
          <w:szCs w:val="24"/>
          <w:lang w:eastAsia="zh-CN"/>
        </w:rPr>
        <w:t>无息</w:t>
      </w:r>
      <w:r>
        <w:rPr>
          <w:rFonts w:hint="eastAsia" w:ascii="宋体" w:hAnsi="宋体" w:eastAsia="宋体" w:cs="宋体"/>
          <w:bCs/>
          <w:sz w:val="24"/>
          <w:szCs w:val="24"/>
        </w:rPr>
        <w:t>付清；</w:t>
      </w:r>
    </w:p>
    <w:p w14:paraId="46815561">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④</w:t>
      </w:r>
      <w:r>
        <w:rPr>
          <w:rFonts w:hint="eastAsia" w:ascii="宋体" w:hAnsi="宋体" w:eastAsia="宋体" w:cs="宋体"/>
          <w:bCs/>
          <w:sz w:val="24"/>
          <w:szCs w:val="24"/>
        </w:rPr>
        <w:t>竣工结算审计核减率10%以下（含10%），审计费用由发包方承担，核减率大于10%，超过10%部分的审计费用由承包方承担，从工程竣工结算审计价款中予以扣除。</w:t>
      </w:r>
    </w:p>
    <w:p w14:paraId="03F3B413">
      <w:pPr>
        <w:spacing w:line="360" w:lineRule="auto"/>
        <w:ind w:firstLine="240" w:firstLineChars="100"/>
        <w:rPr>
          <w:rFonts w:ascii="宋体" w:hAnsi="宋体" w:cs="宋体"/>
          <w:color w:val="000000"/>
          <w:sz w:val="24"/>
        </w:rPr>
      </w:pPr>
    </w:p>
    <w:p w14:paraId="26999EC2">
      <w:pPr>
        <w:spacing w:line="360" w:lineRule="auto"/>
        <w:ind w:firstLine="241" w:firstLineChars="100"/>
        <w:rPr>
          <w:rFonts w:asciiTheme="minorEastAsia" w:hAnsiTheme="minorEastAsia" w:eastAsiaTheme="minorEastAsia" w:cstheme="minorEastAsia"/>
          <w:b/>
          <w:bCs/>
          <w:sz w:val="24"/>
        </w:rPr>
      </w:pPr>
    </w:p>
    <w:p w14:paraId="073B31CC">
      <w:pPr>
        <w:numPr>
          <w:ilvl w:val="0"/>
          <w:numId w:val="0"/>
        </w:numPr>
        <w:spacing w:line="360" w:lineRule="auto"/>
        <w:rPr>
          <w:rFonts w:hint="eastAsia" w:ascii="宋体" w:hAnsi="宋体" w:cs="宋体"/>
          <w:b/>
          <w:bCs/>
          <w:color w:val="auto"/>
          <w:sz w:val="24"/>
          <w:szCs w:val="24"/>
          <w:lang w:eastAsia="zh-CN"/>
        </w:rPr>
      </w:pPr>
    </w:p>
    <w:p w14:paraId="6FE7949F">
      <w:pPr>
        <w:spacing w:line="360" w:lineRule="auto"/>
        <w:ind w:firstLine="240" w:firstLineChars="100"/>
        <w:rPr>
          <w:rFonts w:hint="eastAsia" w:ascii="宋体" w:hAnsi="宋体" w:eastAsia="宋体"/>
          <w:b w:val="0"/>
          <w:bCs w:val="0"/>
          <w:sz w:val="24"/>
          <w:szCs w:val="24"/>
          <w:lang w:val="en-US" w:eastAsia="zh-CN"/>
        </w:rPr>
      </w:pPr>
    </w:p>
    <w:p w14:paraId="4EF151DE">
      <w:pPr>
        <w:rPr>
          <w:rFonts w:hint="eastAsia"/>
          <w:b/>
          <w:sz w:val="32"/>
          <w:szCs w:val="32"/>
        </w:rPr>
      </w:pPr>
    </w:p>
    <w:p w14:paraId="0303B566">
      <w:pPr>
        <w:rPr>
          <w:rFonts w:hint="eastAsia"/>
          <w:b/>
          <w:sz w:val="32"/>
          <w:szCs w:val="32"/>
        </w:rPr>
      </w:pPr>
      <w:r>
        <w:rPr>
          <w:rFonts w:hint="eastAsia"/>
          <w:b/>
          <w:sz w:val="32"/>
          <w:szCs w:val="32"/>
        </w:rPr>
        <w:br w:type="page"/>
      </w:r>
    </w:p>
    <w:p w14:paraId="1AD7303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9"/>
        <w:rPr>
          <w:rFonts w:hint="eastAsia"/>
        </w:rPr>
      </w:pPr>
    </w:p>
    <w:p w14:paraId="6A70D9C6">
      <w:pPr>
        <w:rPr>
          <w:rFonts w:hint="eastAsia"/>
        </w:rPr>
      </w:pPr>
    </w:p>
    <w:p w14:paraId="54DB2C01">
      <w:pPr>
        <w:pStyle w:val="29"/>
        <w:rPr>
          <w:rFonts w:hint="eastAsia"/>
        </w:rPr>
      </w:pPr>
    </w:p>
    <w:p w14:paraId="5A88F343">
      <w:pPr>
        <w:rPr>
          <w:rFonts w:hint="eastAsia"/>
        </w:rPr>
      </w:pPr>
    </w:p>
    <w:p w14:paraId="4C7491A3">
      <w:pPr>
        <w:pStyle w:val="29"/>
        <w:rPr>
          <w:rFonts w:hint="eastAsia"/>
        </w:rPr>
      </w:pPr>
    </w:p>
    <w:p w14:paraId="2B1A8BC3">
      <w:pPr>
        <w:rPr>
          <w:rFonts w:hint="eastAsia"/>
        </w:rPr>
      </w:pPr>
    </w:p>
    <w:p w14:paraId="18FC3E4F">
      <w:pPr>
        <w:pStyle w:val="29"/>
        <w:rPr>
          <w:rFonts w:hint="eastAsia"/>
        </w:rPr>
      </w:pPr>
    </w:p>
    <w:p w14:paraId="2FC77F2D">
      <w:pPr>
        <w:rPr>
          <w:rFonts w:hint="eastAsia"/>
        </w:rPr>
      </w:pPr>
    </w:p>
    <w:p w14:paraId="535821C1">
      <w:pPr>
        <w:pStyle w:val="29"/>
        <w:rPr>
          <w:rFonts w:hint="eastAsia"/>
        </w:rPr>
      </w:pPr>
    </w:p>
    <w:p w14:paraId="5609306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6" w:name="_Toc2479"/>
      <w:bookmarkStart w:id="7"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3830960E">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5" w:name="_Toc24403"/>
      <w:bookmarkStart w:id="16" w:name="_Toc19319"/>
      <w:bookmarkStart w:id="17" w:name="_Toc56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9"/>
      </w:pPr>
    </w:p>
    <w:p w14:paraId="1039CF20"/>
    <w:p w14:paraId="4281B833">
      <w:pPr>
        <w:pStyle w:val="29"/>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8" w:name="_Toc10542"/>
      <w:bookmarkStart w:id="19" w:name="_Toc1972"/>
    </w:p>
    <w:p w14:paraId="4384E0F1">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21" w:name="_Toc31728"/>
      <w:bookmarkStart w:id="22" w:name="_Toc8953"/>
      <w:bookmarkStart w:id="23" w:name="_Toc3266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9"/>
      </w:pPr>
    </w:p>
    <w:p w14:paraId="6A2B089C"/>
    <w:p w14:paraId="77515F30">
      <w:pPr>
        <w:pStyle w:val="29"/>
      </w:pPr>
    </w:p>
    <w:p w14:paraId="18F940D3"/>
    <w:p w14:paraId="09578356">
      <w:pPr>
        <w:pStyle w:val="29"/>
      </w:pPr>
    </w:p>
    <w:p w14:paraId="3604B252"/>
    <w:p w14:paraId="6780CE70">
      <w:pPr>
        <w:pStyle w:val="29"/>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4" w:name="_Toc925"/>
      <w:r>
        <w:rPr>
          <w:rFonts w:hint="eastAsia"/>
          <w:color w:val="auto"/>
          <w:sz w:val="24"/>
          <w:highlight w:val="none"/>
        </w:rPr>
        <w:br w:type="page"/>
      </w:r>
      <w:bookmarkEnd w:id="24"/>
      <w:bookmarkStart w:id="25" w:name="_Toc28112"/>
      <w:bookmarkStart w:id="26" w:name="_Toc11219"/>
      <w:bookmarkStart w:id="27"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5"/>
      <w:bookmarkEnd w:id="26"/>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7"/>
    <w:p w14:paraId="47115276">
      <w:pPr>
        <w:bidi w:val="0"/>
        <w:rPr>
          <w:rFonts w:hint="eastAsia"/>
          <w:lang w:eastAsia="zh-CN"/>
        </w:rPr>
      </w:pPr>
      <w:bookmarkStart w:id="28"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9" w:name="_Toc3305"/>
      <w:r>
        <w:rPr>
          <w:rFonts w:hint="eastAsia"/>
          <w:color w:val="auto"/>
          <w:sz w:val="28"/>
          <w:szCs w:val="36"/>
          <w:highlight w:val="none"/>
          <w:lang w:eastAsia="zh-CN"/>
        </w:rPr>
        <w:t>九、无关联关系声明</w:t>
      </w:r>
      <w:bookmarkEnd w:id="28"/>
      <w:bookmarkEnd w:id="29"/>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9"/>
        <w:rPr>
          <w:sz w:val="24"/>
          <w:szCs w:val="24"/>
        </w:rPr>
      </w:pPr>
    </w:p>
    <w:p w14:paraId="59010B1D">
      <w:pPr>
        <w:rPr>
          <w:sz w:val="24"/>
          <w:szCs w:val="24"/>
        </w:rPr>
      </w:pPr>
    </w:p>
    <w:p w14:paraId="3DC9F820">
      <w:pPr>
        <w:pStyle w:val="29"/>
        <w:rPr>
          <w:sz w:val="24"/>
          <w:szCs w:val="24"/>
        </w:rPr>
      </w:pPr>
    </w:p>
    <w:p w14:paraId="0F9B01FE">
      <w:pPr>
        <w:rPr>
          <w:sz w:val="24"/>
          <w:szCs w:val="24"/>
        </w:rPr>
      </w:pPr>
    </w:p>
    <w:p w14:paraId="7C2BEDB4">
      <w:pPr>
        <w:pStyle w:val="29"/>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3"/>
        <w:rPr>
          <w:color w:val="auto"/>
          <w:sz w:val="28"/>
          <w:highlight w:val="none"/>
        </w:rPr>
      </w:pPr>
      <w:bookmarkStart w:id="30" w:name="_Toc29119"/>
      <w:r>
        <w:rPr>
          <w:rFonts w:hint="eastAsia"/>
          <w:color w:val="auto"/>
          <w:sz w:val="28"/>
          <w:highlight w:val="none"/>
        </w:rPr>
        <w:t>第二部分商务、技术文件</w:t>
      </w:r>
      <w:bookmarkEnd w:id="30"/>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31"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1"/>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10" w:firstLineChars="100"/>
              <w:jc w:val="left"/>
              <w:rPr>
                <w:rFonts w:hint="eastAsia"/>
                <w:lang w:eastAsia="zh-CN"/>
              </w:rPr>
            </w:pP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质保期</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 xml:space="preserve">工程验收合格经批准移交之日不少于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tc>
      </w:tr>
      <w:tr w14:paraId="665C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6011537">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工期</w:t>
            </w:r>
          </w:p>
        </w:tc>
        <w:tc>
          <w:tcPr>
            <w:tcW w:w="6780" w:type="dxa"/>
            <w:vAlign w:val="center"/>
          </w:tcPr>
          <w:p w14:paraId="2D976A3C">
            <w:pPr>
              <w:tabs>
                <w:tab w:val="left" w:pos="926"/>
                <w:tab w:val="left" w:pos="4335"/>
                <w:tab w:val="left" w:pos="4515"/>
                <w:tab w:val="left" w:pos="7227"/>
              </w:tabs>
              <w:spacing w:line="360" w:lineRule="auto"/>
              <w:jc w:val="center"/>
              <w:rPr>
                <w:rFonts w:hint="eastAsia" w:ascii="宋体" w:hAnsi="宋体" w:cs="宋体"/>
                <w:color w:val="auto"/>
                <w:sz w:val="24"/>
              </w:rPr>
            </w:pPr>
            <w:r>
              <w:rPr>
                <w:rFonts w:hint="eastAsia" w:ascii="宋体" w:hAnsi="宋体" w:eastAsia="宋体" w:cs="宋体"/>
                <w:b w:val="0"/>
                <w:bCs w:val="0"/>
                <w:color w:val="auto"/>
                <w:sz w:val="24"/>
                <w:szCs w:val="24"/>
                <w:lang w:val="en-US" w:eastAsia="zh-CN"/>
              </w:rPr>
              <w:t>____日历天</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218A39">
            <w:pPr>
              <w:tabs>
                <w:tab w:val="left" w:pos="926"/>
                <w:tab w:val="left" w:pos="4335"/>
                <w:tab w:val="left" w:pos="4515"/>
                <w:tab w:val="left" w:pos="7227"/>
              </w:tabs>
              <w:spacing w:line="360" w:lineRule="auto"/>
              <w:jc w:val="left"/>
            </w:pPr>
          </w:p>
          <w:p w14:paraId="7A78B0D1">
            <w:pPr>
              <w:pStyle w:val="29"/>
            </w:pPr>
          </w:p>
        </w:tc>
      </w:tr>
    </w:tbl>
    <w:p w14:paraId="416B7D2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390E00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w:t>
      </w:r>
      <w:r>
        <w:rPr>
          <w:rFonts w:hint="eastAsia" w:asciiTheme="minorEastAsia" w:hAnsiTheme="minorEastAsia" w:eastAsiaTheme="minorEastAsia" w:cstheme="minorEastAsia"/>
          <w:color w:val="333333"/>
          <w:sz w:val="24"/>
          <w:szCs w:val="24"/>
          <w:highlight w:val="none"/>
        </w:rPr>
        <w:t>最高限价</w:t>
      </w:r>
      <w:r>
        <w:rPr>
          <w:rFonts w:hint="eastAsia" w:cs="宋体"/>
          <w:b w:val="0"/>
          <w:bCs/>
          <w:color w:val="auto"/>
          <w:sz w:val="21"/>
          <w:szCs w:val="21"/>
          <w:highlight w:val="none"/>
          <w:lang w:eastAsia="zh-CN"/>
        </w:rPr>
        <w:t>按无效响应处理。</w:t>
      </w:r>
    </w:p>
    <w:p w14:paraId="4A5211A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highlight w:val="none"/>
        </w:rPr>
      </w:pPr>
      <w:r>
        <w:rPr>
          <w:rFonts w:hint="eastAsia" w:cs="宋体"/>
          <w:b w:val="0"/>
          <w:bCs/>
          <w:color w:val="auto"/>
          <w:sz w:val="21"/>
          <w:szCs w:val="21"/>
          <w:highlight w:val="none"/>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30"/>
        <w:tabs>
          <w:tab w:val="left" w:pos="945"/>
          <w:tab w:val="left" w:pos="1155"/>
        </w:tabs>
        <w:ind w:firstLine="0" w:firstLineChars="0"/>
        <w:rPr>
          <w:rFonts w:hint="eastAsia"/>
        </w:rPr>
      </w:pPr>
    </w:p>
    <w:p w14:paraId="05AB2C60">
      <w:pPr>
        <w:pStyle w:val="30"/>
        <w:tabs>
          <w:tab w:val="left" w:pos="945"/>
          <w:tab w:val="left" w:pos="1155"/>
        </w:tabs>
        <w:ind w:firstLine="0" w:firstLineChars="0"/>
        <w:rPr>
          <w:rFonts w:hint="eastAsia"/>
        </w:rPr>
      </w:pPr>
    </w:p>
    <w:p w14:paraId="4A46F5CF">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9"/>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32" w:name="_Toc21266"/>
      <w:bookmarkStart w:id="3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2"/>
      <w:bookmarkEnd w:id="33"/>
    </w:p>
    <w:p w14:paraId="743299CD">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9"/>
        <w:rPr>
          <w:rFonts w:hint="eastAsia"/>
          <w:lang w:val="en-US" w:eastAsia="zh-CN"/>
        </w:rPr>
      </w:pPr>
    </w:p>
    <w:p w14:paraId="7A708336">
      <w:pPr>
        <w:rPr>
          <w:rFonts w:hint="eastAsia"/>
          <w:lang w:val="en-US" w:eastAsia="zh-CN"/>
        </w:rPr>
      </w:pPr>
    </w:p>
    <w:p w14:paraId="3715C06F">
      <w:pPr>
        <w:pStyle w:val="29"/>
        <w:rPr>
          <w:rFonts w:hint="eastAsia"/>
          <w:lang w:val="en-US" w:eastAsia="zh-CN"/>
        </w:rPr>
      </w:pPr>
    </w:p>
    <w:p w14:paraId="42124108">
      <w:pPr>
        <w:rPr>
          <w:rFonts w:hint="eastAsia"/>
          <w:lang w:val="en-US" w:eastAsia="zh-CN"/>
        </w:rPr>
      </w:pPr>
    </w:p>
    <w:p w14:paraId="4A35BF37">
      <w:pPr>
        <w:pStyle w:val="29"/>
        <w:rPr>
          <w:rFonts w:hint="eastAsia"/>
          <w:lang w:val="en-US" w:eastAsia="zh-CN"/>
        </w:rPr>
      </w:pPr>
    </w:p>
    <w:p w14:paraId="065A7D4D">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9"/>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4"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4"/>
    </w:p>
    <w:p w14:paraId="31DD930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9"/>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9"/>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9"/>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9"/>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9"/>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9"/>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9"/>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9"/>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9"/>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9"/>
        <w:rPr>
          <w:rFonts w:hint="eastAsia"/>
          <w:b w:val="0"/>
          <w:bCs/>
          <w:sz w:val="28"/>
          <w:szCs w:val="28"/>
          <w:lang w:val="en-US" w:eastAsia="zh-CN"/>
        </w:rPr>
      </w:pPr>
    </w:p>
    <w:p w14:paraId="5ACFFB43">
      <w:pPr>
        <w:rPr>
          <w:rFonts w:hint="eastAsia"/>
          <w:b w:val="0"/>
          <w:bCs/>
          <w:sz w:val="28"/>
          <w:szCs w:val="28"/>
          <w:lang w:val="en-US" w:eastAsia="zh-CN"/>
        </w:rPr>
      </w:pPr>
    </w:p>
    <w:p w14:paraId="713C6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9"/>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1"/>
        <w:rPr>
          <w:rFonts w:hint="eastAsia"/>
          <w:lang w:val="en-US" w:eastAsia="zh-CN"/>
        </w:rPr>
      </w:pPr>
    </w:p>
    <w:p w14:paraId="53923189">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9"/>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9"/>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40"/>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5" w:name="_Toc11982"/>
      <w:bookmarkStart w:id="36" w:name="_Toc23117"/>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5"/>
      <w:bookmarkEnd w:id="36"/>
      <w:r>
        <w:rPr>
          <w:rFonts w:hint="eastAsia"/>
          <w:color w:val="auto"/>
          <w:sz w:val="28"/>
          <w:highlight w:val="none"/>
          <w:lang w:val="en-US" w:eastAsia="zh-CN"/>
        </w:rPr>
        <w:t>服务方案</w:t>
      </w:r>
    </w:p>
    <w:p w14:paraId="3582D719">
      <w:pPr>
        <w:pStyle w:val="3"/>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7" w:name="_Toc20496"/>
      <w:bookmarkStart w:id="38" w:name="_Toc2381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7"/>
      <w:bookmarkEnd w:id="38"/>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9" w:name="_Toc2922"/>
      <w:bookmarkStart w:id="40" w:name="_Toc4948"/>
      <w:bookmarkStart w:id="41" w:name="_Toc349642319"/>
      <w:bookmarkStart w:id="42" w:name="_Toc337475928"/>
      <w:bookmarkStart w:id="43" w:name="_Toc30765"/>
      <w:bookmarkStart w:id="44" w:name="_Toc15867"/>
      <w:bookmarkStart w:id="45" w:name="_Toc337554798"/>
      <w:bookmarkStart w:id="46" w:name="_Toc28583"/>
      <w:bookmarkStart w:id="47" w:name="_Toc12801"/>
      <w:bookmarkStart w:id="48" w:name="_Toc320878714"/>
      <w:bookmarkStart w:id="49" w:name="_Toc4599"/>
      <w:bookmarkStart w:id="50" w:name="_Toc304219331"/>
      <w:bookmarkStart w:id="51" w:name="_Toc10750"/>
      <w:bookmarkStart w:id="52" w:name="_Toc29526"/>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9"/>
      <w:bookmarkEnd w:id="40"/>
    </w:p>
    <w:p w14:paraId="1EBB120E">
      <w:pPr>
        <w:pStyle w:val="3"/>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3"/>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53" w:name="_Toc8810"/>
      <w:bookmarkStart w:id="54" w:name="_Toc7716"/>
      <w:r>
        <w:rPr>
          <w:rFonts w:hint="eastAsia"/>
          <w:sz w:val="28"/>
          <w:szCs w:val="28"/>
          <w:lang w:val="en-US" w:eastAsia="zh-CN"/>
        </w:rPr>
        <w:t>九、优惠承诺</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5" w:name="_Toc11154"/>
      <w:bookmarkStart w:id="56" w:name="_Toc17593"/>
      <w:r>
        <w:rPr>
          <w:rFonts w:hint="eastAsia"/>
          <w:sz w:val="28"/>
          <w:szCs w:val="28"/>
          <w:lang w:val="en-US" w:eastAsia="zh-CN"/>
        </w:rPr>
        <w:t>十、</w:t>
      </w:r>
      <w:bookmarkEnd w:id="55"/>
      <w:bookmarkEnd w:id="56"/>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3242"/>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687694B"/>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A77D73"/>
    <w:rsid w:val="14E47A52"/>
    <w:rsid w:val="156B5EB8"/>
    <w:rsid w:val="15742FCA"/>
    <w:rsid w:val="15A05DC8"/>
    <w:rsid w:val="15E704F3"/>
    <w:rsid w:val="15E81FD2"/>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DD611BE"/>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693A7B"/>
    <w:rsid w:val="6F7C7E61"/>
    <w:rsid w:val="6FC32402"/>
    <w:rsid w:val="70322F14"/>
    <w:rsid w:val="706F1E6E"/>
    <w:rsid w:val="70F04FAA"/>
    <w:rsid w:val="71220F0F"/>
    <w:rsid w:val="715220E5"/>
    <w:rsid w:val="716A72EA"/>
    <w:rsid w:val="71786173"/>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page number"/>
    <w:basedOn w:val="33"/>
    <w:qFormat/>
    <w:uiPriority w:val="0"/>
  </w:style>
  <w:style w:type="character" w:styleId="36">
    <w:name w:val="FollowedHyperlink"/>
    <w:basedOn w:val="33"/>
    <w:autoRedefine/>
    <w:semiHidden/>
    <w:unhideWhenUsed/>
    <w:qFormat/>
    <w:uiPriority w:val="99"/>
    <w:rPr>
      <w:color w:val="444444"/>
      <w:sz w:val="21"/>
      <w:szCs w:val="21"/>
      <w:u w:val="none"/>
    </w:rPr>
  </w:style>
  <w:style w:type="character" w:styleId="37">
    <w:name w:val="Hyperlink"/>
    <w:basedOn w:val="33"/>
    <w:autoRedefine/>
    <w:unhideWhenUsed/>
    <w:qFormat/>
    <w:uiPriority w:val="99"/>
    <w:rPr>
      <w:color w:val="0000FF" w:themeColor="hyperlink"/>
      <w:u w:val="single"/>
      <w14:textFill>
        <w14:solidFill>
          <w14:schemeClr w14:val="hlink"/>
        </w14:solidFill>
      </w14:textFill>
    </w:rPr>
  </w:style>
  <w:style w:type="character" w:styleId="38">
    <w:name w:val="HTML Code"/>
    <w:basedOn w:val="33"/>
    <w:autoRedefine/>
    <w:semiHidden/>
    <w:unhideWhenUsed/>
    <w:qFormat/>
    <w:uiPriority w:val="99"/>
    <w:rPr>
      <w:rFonts w:ascii="Courier New" w:hAnsi="Courier New"/>
      <w:sz w:val="20"/>
    </w:rPr>
  </w:style>
  <w:style w:type="character" w:styleId="39">
    <w:name w:val="annotation reference"/>
    <w:basedOn w:val="33"/>
    <w:autoRedefine/>
    <w:semiHidden/>
    <w:unhideWhenUsed/>
    <w:qFormat/>
    <w:uiPriority w:val="99"/>
    <w:rPr>
      <w:sz w:val="21"/>
      <w:szCs w:val="21"/>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 w:type="paragraph" w:customStyle="1" w:styleId="1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5">
    <w:name w:val="WPSOffice手动目录 1"/>
    <w:qFormat/>
    <w:uiPriority w:val="0"/>
    <w:pPr>
      <w:ind w:leftChars="0"/>
    </w:pPr>
    <w:rPr>
      <w:rFonts w:ascii="Calibri" w:hAnsi="Calibri" w:eastAsia="宋体" w:cs="Times New Roman"/>
      <w:sz w:val="20"/>
      <w:szCs w:val="20"/>
    </w:rPr>
  </w:style>
  <w:style w:type="paragraph" w:customStyle="1" w:styleId="166">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3480</Words>
  <Characters>3750</Characters>
  <Lines>315</Lines>
  <Paragraphs>88</Paragraphs>
  <TotalTime>0</TotalTime>
  <ScaleCrop>false</ScaleCrop>
  <LinksUpToDate>false</LinksUpToDate>
  <CharactersWithSpaces>3866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2026-02-03T02:23:58Z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58B0551FEB4C4B328725984075DE5123_13</vt:lpwstr>
  </property>
  <property fmtid="{D5CDD505-2E9C-101B-9397-08002B2CF9AE}" pid="4" name="KSOTemplateDocerSaveRecord">
    <vt:lpwstr>eyJoZGlkIjoiMTUyMDA2ZjQ4N2YyNDAzZWJjY2U2NWNkZDY5ZDY4ZDAiLCJ1c2VySWQiOiIxNTkzMTM1MzcxIn0=</vt:lpwstr>
  </property>
</Properties>
</file>