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F2DE95E">
      <w:pPr>
        <w:jc w:val="center"/>
        <w:rPr>
          <w:rFonts w:hint="eastAsia" w:ascii="宋体" w:hAnsi="宋体" w:cs="宋体"/>
          <w:b/>
          <w:sz w:val="40"/>
          <w:szCs w:val="40"/>
          <w:highlight w:val="green"/>
          <w:lang w:eastAsia="zh-CN"/>
        </w:rPr>
      </w:pPr>
      <w:bookmarkStart w:id="0" w:name="_Toc25130"/>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DF4DF8C">
      <w:pPr>
        <w:jc w:val="center"/>
        <w:rPr>
          <w:rFonts w:hint="eastAsia" w:ascii="宋体" w:hAnsi="宋体" w:cs="宋体"/>
          <w:b/>
          <w:sz w:val="40"/>
          <w:szCs w:val="40"/>
          <w:highlight w:val="green"/>
          <w:lang w:eastAsia="zh-CN"/>
        </w:rPr>
      </w:pPr>
      <w:r>
        <w:rPr>
          <w:rFonts w:hint="eastAsia" w:ascii="宋体" w:hAnsi="宋体" w:cs="宋体"/>
          <w:b/>
          <w:sz w:val="40"/>
          <w:szCs w:val="40"/>
          <w:highlight w:val="green"/>
          <w:lang w:eastAsia="zh-CN"/>
        </w:rPr>
        <w:t>河南省胸科医院</w:t>
      </w: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第三方基因检测机构服务项目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013</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39ABF27">
      <w:pPr>
        <w:spacing w:line="360" w:lineRule="auto"/>
        <w:jc w:val="center"/>
        <w:rPr>
          <w:rFonts w:hint="eastAsia"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2</w:t>
      </w:r>
      <w:r>
        <w:rPr>
          <w:rFonts w:hint="eastAsia" w:ascii="宋体" w:hAnsi="宋体" w:cs="宋体"/>
          <w:b/>
          <w:sz w:val="30"/>
          <w:szCs w:val="30"/>
          <w:highlight w:val="yellow"/>
        </w:rPr>
        <w:t>月</w:t>
      </w:r>
    </w:p>
    <w:p w14:paraId="6E02CDC3">
      <w:pPr>
        <w:rPr>
          <w:rFonts w:hint="eastAsia" w:ascii="宋体" w:hAnsi="宋体" w:cs="宋体"/>
          <w:b/>
          <w:sz w:val="30"/>
          <w:szCs w:val="30"/>
          <w:highlight w:val="yellow"/>
        </w:rPr>
      </w:pPr>
      <w:r>
        <w:rPr>
          <w:rFonts w:hint="eastAsia" w:ascii="宋体" w:hAnsi="宋体" w:cs="宋体"/>
          <w:b/>
          <w:sz w:val="30"/>
          <w:szCs w:val="30"/>
          <w:highlight w:val="yellow"/>
        </w:rPr>
        <w:br w:type="page"/>
      </w:r>
    </w:p>
    <w:p w14:paraId="41252A91">
      <w:pPr>
        <w:spacing w:line="360" w:lineRule="auto"/>
        <w:jc w:val="center"/>
        <w:rPr>
          <w:rFonts w:hint="eastAsia" w:ascii="宋体" w:hAnsi="宋体" w:cs="宋体"/>
          <w:b/>
          <w:sz w:val="30"/>
          <w:szCs w:val="30"/>
          <w:highlight w:val="yellow"/>
        </w:rPr>
      </w:pPr>
    </w:p>
    <w:p w14:paraId="0BAC9F8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河南省胸科医院第三方基因检测机构服务项目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河南省胸科医院第三方基因检测机构服务项目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第三方基因检测服务</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49</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3D4EFD1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imes New Roman" w:hAnsi="Times New Roman" w:eastAsia="宋体" w:cs="Times New Roman"/>
          <w:sz w:val="24"/>
          <w:szCs w:val="24"/>
        </w:rPr>
        <w:t>须具备有效的《医疗机构执业许可证》</w:t>
      </w:r>
      <w:r>
        <w:rPr>
          <w:rFonts w:hint="default" w:asciiTheme="minorEastAsia" w:hAnsiTheme="minorEastAsia" w:eastAsiaTheme="minorEastAsia" w:cstheme="minorEastAsia"/>
          <w:color w:val="333333"/>
          <w:sz w:val="24"/>
          <w:szCs w:val="24"/>
          <w:highlight w:val="yellow"/>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751CE04"/>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9"/>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0949C247">
      <w:pPr>
        <w:spacing w:line="360" w:lineRule="auto"/>
        <w:rPr>
          <w:rFonts w:hint="default" w:ascii="Times New Roman" w:hAnsi="Times New Roman" w:eastAsia="宋体" w:cs="Times New Roman"/>
          <w:sz w:val="24"/>
          <w:szCs w:val="24"/>
        </w:rPr>
      </w:pPr>
    </w:p>
    <w:p w14:paraId="4602276D">
      <w:pPr>
        <w:numPr>
          <w:ilvl w:val="0"/>
          <w:numId w:val="2"/>
        </w:numPr>
        <w:spacing w:line="360" w:lineRule="auto"/>
        <w:ind w:left="0" w:leftChars="0" w:firstLine="0" w:firstLineChars="0"/>
        <w:rPr>
          <w:rFonts w:hint="default" w:ascii="Times New Roman" w:hAnsi="Times New Roman" w:eastAsia="宋体" w:cs="Times New Roman"/>
          <w:b/>
          <w:bCs/>
          <w:sz w:val="32"/>
          <w:szCs w:val="32"/>
        </w:rPr>
      </w:pPr>
      <w:r>
        <w:rPr>
          <w:rFonts w:hint="eastAsia" w:ascii="Times New Roman" w:hAnsi="Times New Roman" w:eastAsia="宋体" w:cs="Times New Roman"/>
          <w:b/>
          <w:bCs/>
          <w:sz w:val="32"/>
          <w:szCs w:val="32"/>
          <w:lang w:val="en-US" w:eastAsia="zh-CN"/>
        </w:rPr>
        <w:t>技术要求</w:t>
      </w:r>
    </w:p>
    <w:p w14:paraId="1744BBB7">
      <w:pPr>
        <w:numPr>
          <w:ilvl w:val="0"/>
          <w:numId w:val="3"/>
        </w:numPr>
        <w:spacing w:line="360" w:lineRule="auto"/>
        <w:ind w:left="0" w:lef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服务范围</w:t>
      </w:r>
    </w:p>
    <w:p w14:paraId="063873F8">
      <w:pPr>
        <w:numPr>
          <w:ilvl w:val="0"/>
          <w:numId w:val="0"/>
        </w:numPr>
        <w:spacing w:line="360" w:lineRule="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本项目服务范围包括本院临床科室需要，但病理科暂未开展的基因检测项目。具体服务范围包括但不限于</w:t>
      </w:r>
      <w:r>
        <w:rPr>
          <w:rFonts w:hint="default" w:ascii="Times New Roman" w:hAnsi="Times New Roman" w:eastAsia="宋体" w:cs="Times New Roman"/>
          <w:kern w:val="2"/>
          <w:sz w:val="24"/>
          <w:szCs w:val="24"/>
          <w:lang w:val="en-US" w:eastAsia="zh-CN" w:bidi="ar-SA"/>
        </w:rPr>
        <w:t>：化学药物用药指导的基因检测、各类病原体测定、遗传病基因检测分析、荧光原位杂交（FISH）检测和结核分枝杆菌DNA（TB-DNA）检测。</w:t>
      </w:r>
    </w:p>
    <w:p w14:paraId="5E22CFBF">
      <w:pPr>
        <w:numPr>
          <w:ilvl w:val="0"/>
          <w:numId w:val="3"/>
        </w:numPr>
        <w:spacing w:line="360" w:lineRule="auto"/>
        <w:ind w:left="0" w:leftChars="0" w:firstLine="0" w:firstLineChars="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具体服务内容</w:t>
      </w:r>
    </w:p>
    <w:p w14:paraId="3552F96A">
      <w:pPr>
        <w:numPr>
          <w:ilvl w:val="0"/>
          <w:numId w:val="0"/>
        </w:numPr>
        <w:spacing w:line="360" w:lineRule="auto"/>
        <w:ind w:leftChars="0" w:firstLine="240" w:firstLineChars="100"/>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2.1非检测操作环节</w:t>
      </w:r>
      <w:r>
        <w:rPr>
          <w:rFonts w:hint="default" w:ascii="Times New Roman" w:hAnsi="Times New Roman" w:eastAsia="宋体" w:cs="Times New Roman"/>
          <w:sz w:val="24"/>
          <w:szCs w:val="24"/>
          <w:lang w:eastAsia="zh-CN"/>
        </w:rPr>
        <w:t>：</w:t>
      </w:r>
    </w:p>
    <w:p w14:paraId="35084CF6">
      <w:pPr>
        <w:numPr>
          <w:ilvl w:val="0"/>
          <w:numId w:val="4"/>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服务方应在本院派驻不少于两名的专职服务人员，承担从基因检测申请单受</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理</w:t>
      </w:r>
      <w:r>
        <w:rPr>
          <w:rFonts w:hint="eastAsia" w:ascii="Times New Roman" w:hAnsi="Times New Roman" w:eastAsia="宋体" w:cs="Times New Roman"/>
          <w:sz w:val="24"/>
          <w:szCs w:val="24"/>
          <w:highlight w:val="none"/>
          <w:lang w:val="en-US" w:eastAsia="zh-CN"/>
        </w:rPr>
        <w:t>与登记</w:t>
      </w: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标本核收与预处理、物流交接与跟踪、检测过程协调、报告接收、初审与回传、档案与数据管理的全部非检测操作环节，形成无缝闭环管理</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工作</w:t>
      </w:r>
      <w:r>
        <w:rPr>
          <w:rFonts w:hint="default" w:ascii="Times New Roman" w:hAnsi="Times New Roman" w:eastAsia="宋体" w:cs="Times New Roman"/>
          <w:sz w:val="24"/>
          <w:szCs w:val="24"/>
          <w:highlight w:val="none"/>
          <w:lang w:val="en-US" w:eastAsia="zh-CN"/>
        </w:rPr>
        <w:t>时间为</w:t>
      </w:r>
      <w:r>
        <w:rPr>
          <w:rFonts w:hint="default" w:ascii="Times New Roman" w:hAnsi="Times New Roman" w:eastAsia="宋体" w:cs="Times New Roman"/>
          <w:sz w:val="24"/>
          <w:szCs w:val="24"/>
          <w:highlight w:val="none"/>
        </w:rPr>
        <w:t>周一至周六</w:t>
      </w:r>
      <w:r>
        <w:rPr>
          <w:rFonts w:hint="default" w:ascii="Times New Roman" w:hAnsi="Times New Roman" w:eastAsia="宋体" w:cs="Times New Roman"/>
          <w:sz w:val="24"/>
          <w:szCs w:val="24"/>
          <w:highlight w:val="none"/>
          <w:lang w:eastAsia="zh-CN"/>
        </w:rPr>
        <w:t>，</w:t>
      </w:r>
      <w:r>
        <w:rPr>
          <w:rFonts w:hint="default" w:ascii="Times New Roman" w:hAnsi="Times New Roman" w:cs="Times New Roman"/>
          <w:sz w:val="24"/>
          <w:highlight w:val="none"/>
        </w:rPr>
        <w:t>节假日照常</w:t>
      </w:r>
      <w:r>
        <w:rPr>
          <w:rFonts w:hint="default" w:ascii="Times New Roman" w:hAnsi="Times New Roman" w:eastAsia="宋体" w:cs="Times New Roman"/>
          <w:sz w:val="24"/>
          <w:szCs w:val="24"/>
          <w:highlight w:val="none"/>
        </w:rPr>
        <w:t>。</w:t>
      </w:r>
    </w:p>
    <w:p w14:paraId="3529F840">
      <w:pPr>
        <w:numPr>
          <w:ilvl w:val="0"/>
          <w:numId w:val="4"/>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提供规范的《样本采集要求指导书》、《样本收取流程指导书》及《样本运输指导书》，并确保传达至相关临床医生。</w:t>
      </w:r>
    </w:p>
    <w:p w14:paraId="34C20588">
      <w:pPr>
        <w:numPr>
          <w:ilvl w:val="0"/>
          <w:numId w:val="4"/>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提供符合生物安全要求的样本运输服务，对于血液样本，需提供有效的《货物运输条件鉴定书》。</w:t>
      </w:r>
    </w:p>
    <w:p w14:paraId="76183A4C">
      <w:pPr>
        <w:numPr>
          <w:ilvl w:val="0"/>
          <w:numId w:val="4"/>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物流人员须经过生物安全培训，按时收取标本（含节假日）。</w:t>
      </w:r>
    </w:p>
    <w:p w14:paraId="06784BB9">
      <w:pPr>
        <w:numPr>
          <w:ilvl w:val="0"/>
          <w:numId w:val="0"/>
        </w:numPr>
        <w:spacing w:line="360" w:lineRule="auto"/>
        <w:ind w:leftChars="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2.2</w:t>
      </w:r>
      <w:r>
        <w:rPr>
          <w:rFonts w:hint="default" w:ascii="Times New Roman" w:hAnsi="Times New Roman" w:eastAsia="宋体" w:cs="Times New Roman"/>
          <w:sz w:val="24"/>
          <w:szCs w:val="24"/>
        </w:rPr>
        <w:t>检测与报告服务：</w:t>
      </w:r>
    </w:p>
    <w:p w14:paraId="7BE8B33B">
      <w:pPr>
        <w:numPr>
          <w:ilvl w:val="0"/>
          <w:numId w:val="5"/>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所有检测项目均须在服务方符合资质的第三方实验室内，严格按照国家规范进行全闭环操作。</w:t>
      </w:r>
    </w:p>
    <w:p w14:paraId="0BBEEADD">
      <w:pPr>
        <w:numPr>
          <w:ilvl w:val="0"/>
          <w:numId w:val="5"/>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根据项目临床紧急程度，合理安排检测流程，确保报告及时</w:t>
      </w:r>
      <w:r>
        <w:rPr>
          <w:rFonts w:hint="eastAsia" w:ascii="Times New Roman" w:hAnsi="Times New Roman" w:eastAsia="宋体" w:cs="Times New Roman"/>
          <w:sz w:val="24"/>
          <w:szCs w:val="24"/>
          <w:lang w:val="en-US" w:eastAsia="zh-CN"/>
        </w:rPr>
        <w:t>回传</w:t>
      </w:r>
      <w:r>
        <w:rPr>
          <w:rFonts w:hint="default" w:ascii="Times New Roman" w:hAnsi="Times New Roman" w:eastAsia="宋体" w:cs="Times New Roman"/>
          <w:sz w:val="24"/>
          <w:szCs w:val="24"/>
        </w:rPr>
        <w:t>。</w:t>
      </w:r>
    </w:p>
    <w:p w14:paraId="7F1B5F4F">
      <w:pPr>
        <w:numPr>
          <w:ilvl w:val="0"/>
          <w:numId w:val="5"/>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报告内容需满足临床诊疗需求，涵盖靶向治疗、放化疗、免疫治疗及临床试验相关基因信息，并动态更新。报告须严格按照医学临床意义进行分层解读与报道。</w:t>
      </w:r>
    </w:p>
    <w:p w14:paraId="289E2E4C">
      <w:pPr>
        <w:numPr>
          <w:ilvl w:val="0"/>
          <w:numId w:val="5"/>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提供专业的生物信息分析团队支持报告解读。</w:t>
      </w:r>
    </w:p>
    <w:p w14:paraId="18149505">
      <w:pPr>
        <w:numPr>
          <w:ilvl w:val="0"/>
          <w:numId w:val="5"/>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实验室人员具备医学检验相关学历、培训经历、检验职称资格证书及特种项目上岗证书。</w:t>
      </w:r>
    </w:p>
    <w:p w14:paraId="1625E513">
      <w:pPr>
        <w:numPr>
          <w:ilvl w:val="0"/>
          <w:numId w:val="0"/>
        </w:numPr>
        <w:spacing w:line="360" w:lineRule="auto"/>
        <w:ind w:leftChars="0" w:firstLine="240" w:firstLineChars="1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2.3</w:t>
      </w:r>
      <w:r>
        <w:rPr>
          <w:rFonts w:hint="default" w:ascii="Times New Roman" w:hAnsi="Times New Roman" w:eastAsia="宋体" w:cs="Times New Roman"/>
          <w:sz w:val="24"/>
          <w:szCs w:val="24"/>
        </w:rPr>
        <w:t>质量控制与管理：</w:t>
      </w:r>
    </w:p>
    <w:p w14:paraId="35797841">
      <w:pPr>
        <w:numPr>
          <w:ilvl w:val="0"/>
          <w:numId w:val="6"/>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服务方须明确各检测项目的标本采集、处理、保存要求。</w:t>
      </w:r>
    </w:p>
    <w:p w14:paraId="1686DA6D">
      <w:pPr>
        <w:numPr>
          <w:ilvl w:val="0"/>
          <w:numId w:val="6"/>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检测过程中须严格进行病理复核和样本质量控制，并在报告中详细阐述质控流程及结果。</w:t>
      </w:r>
    </w:p>
    <w:p w14:paraId="56AAEED0">
      <w:pPr>
        <w:numPr>
          <w:ilvl w:val="0"/>
          <w:numId w:val="6"/>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服务方须提供相关检测项目的标准操作规程（SOP）文件。</w:t>
      </w:r>
    </w:p>
    <w:p w14:paraId="763F626F">
      <w:pPr>
        <w:numPr>
          <w:ilvl w:val="0"/>
          <w:numId w:val="6"/>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服务方对其出具的检测报告依法承担相应法律责任。</w:t>
      </w:r>
    </w:p>
    <w:p w14:paraId="0FD491FE">
      <w:pPr>
        <w:numPr>
          <w:ilvl w:val="0"/>
          <w:numId w:val="0"/>
        </w:numPr>
        <w:spacing w:line="360" w:lineRule="auto"/>
        <w:ind w:leftChars="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2.4</w:t>
      </w:r>
      <w:r>
        <w:rPr>
          <w:rFonts w:hint="default" w:ascii="Times New Roman" w:hAnsi="Times New Roman" w:eastAsia="宋体" w:cs="Times New Roman"/>
          <w:sz w:val="24"/>
          <w:szCs w:val="24"/>
        </w:rPr>
        <w:t>保密与学术支持：</w:t>
      </w:r>
    </w:p>
    <w:p w14:paraId="4F9CF3A7">
      <w:pPr>
        <w:numPr>
          <w:ilvl w:val="0"/>
          <w:numId w:val="7"/>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服务方须承担保密义务，未经本院同意，不得向任何第三方泄露委托检测的项目、内容及结果。</w:t>
      </w:r>
    </w:p>
    <w:p w14:paraId="6ABCFCD5">
      <w:pPr>
        <w:numPr>
          <w:ilvl w:val="0"/>
          <w:numId w:val="7"/>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应不定期提供专业信息交流，包括开展专题学术讲座、研讨会及资料共享等。</w:t>
      </w:r>
    </w:p>
    <w:p w14:paraId="14454D32">
      <w:pPr>
        <w:numPr>
          <w:ilvl w:val="0"/>
          <w:numId w:val="0"/>
        </w:numPr>
        <w:spacing w:line="360" w:lineRule="auto"/>
        <w:ind w:leftChars="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rPr>
        <w:t>剩余标本与异议处理：</w:t>
      </w:r>
    </w:p>
    <w:p w14:paraId="03650E92">
      <w:pPr>
        <w:numPr>
          <w:ilvl w:val="0"/>
          <w:numId w:val="8"/>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检测剩余标本（如蜡块等）须及时归还本院病理科。</w:t>
      </w:r>
    </w:p>
    <w:p w14:paraId="15011336">
      <w:pPr>
        <w:numPr>
          <w:ilvl w:val="0"/>
          <w:numId w:val="8"/>
        </w:numPr>
        <w:spacing w:line="360" w:lineRule="auto"/>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如本院对检测结果有异议，应在报告发出后2周内提出。</w:t>
      </w:r>
    </w:p>
    <w:p w14:paraId="065268DB">
      <w:pPr>
        <w:numPr>
          <w:ilvl w:val="0"/>
          <w:numId w:val="0"/>
        </w:numPr>
        <w:spacing w:line="360" w:lineRule="auto"/>
        <w:ind w:leftChars="0"/>
        <w:rPr>
          <w:rFonts w:hint="eastAsia" w:ascii="Times New Roman" w:hAnsi="Times New Roman" w:eastAsia="宋体" w:cs="Times New Roman"/>
          <w:sz w:val="24"/>
          <w:szCs w:val="24"/>
          <w:lang w:val="en-US" w:eastAsia="zh-CN"/>
        </w:rPr>
      </w:pPr>
    </w:p>
    <w:p w14:paraId="0D078D41">
      <w:pPr>
        <w:numPr>
          <w:ilvl w:val="0"/>
          <w:numId w:val="0"/>
        </w:numPr>
        <w:spacing w:line="360" w:lineRule="auto"/>
        <w:ind w:leftChars="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人员与设备要求</w:t>
      </w:r>
    </w:p>
    <w:p w14:paraId="77B49CC8">
      <w:pPr>
        <w:numPr>
          <w:ilvl w:val="0"/>
          <w:numId w:val="0"/>
        </w:numPr>
        <w:spacing w:line="360" w:lineRule="auto"/>
        <w:ind w:left="420" w:leftChars="200" w:firstLine="0" w:firstLineChars="0"/>
        <w:rPr>
          <w:rFonts w:hint="default" w:ascii="Times New Roman" w:hAnsi="Times New Roman" w:eastAsia="宋体" w:cs="Times New Roman"/>
          <w:sz w:val="24"/>
          <w:szCs w:val="24"/>
        </w:rPr>
      </w:pPr>
      <w:r>
        <w:rPr>
          <w:rFonts w:hint="eastAsia" w:ascii="Times New Roman" w:hAnsi="Times New Roman" w:cs="Times New Roman"/>
          <w:sz w:val="24"/>
          <w:lang w:val="en-US" w:eastAsia="zh-CN"/>
        </w:rPr>
        <w:t>3.1</w:t>
      </w:r>
      <w:r>
        <w:rPr>
          <w:rFonts w:hint="default" w:ascii="Times New Roman" w:hAnsi="Times New Roman" w:cs="Times New Roman"/>
          <w:sz w:val="24"/>
        </w:rPr>
        <w:t>物流人员经过生物安全培训，保证按时收取标本（节假日照常）</w:t>
      </w:r>
      <w:r>
        <w:rPr>
          <w:rFonts w:hint="default" w:ascii="Times New Roman" w:hAnsi="Times New Roman" w:cs="Times New Roman"/>
          <w:sz w:val="24"/>
          <w:lang w:eastAsia="zh-CN"/>
        </w:rPr>
        <w:t>。</w:t>
      </w:r>
    </w:p>
    <w:p w14:paraId="3AA12CA3">
      <w:pPr>
        <w:numPr>
          <w:ilvl w:val="0"/>
          <w:numId w:val="0"/>
        </w:numPr>
        <w:spacing w:line="360" w:lineRule="auto"/>
        <w:ind w:left="420" w:leftChars="200" w:firstLine="0" w:firstLineChars="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3.2</w:t>
      </w:r>
      <w:r>
        <w:rPr>
          <w:rFonts w:hint="default" w:ascii="Times New Roman" w:hAnsi="Times New Roman" w:eastAsia="宋体" w:cs="Times New Roman"/>
          <w:sz w:val="24"/>
          <w:szCs w:val="24"/>
          <w:lang w:val="en-US" w:eastAsia="zh-CN"/>
        </w:rPr>
        <w:t>服务</w:t>
      </w:r>
      <w:r>
        <w:rPr>
          <w:rFonts w:hint="default" w:ascii="Times New Roman" w:hAnsi="Times New Roman" w:eastAsia="宋体" w:cs="Times New Roman"/>
          <w:sz w:val="24"/>
          <w:szCs w:val="24"/>
        </w:rPr>
        <w:t>人员须保证24小时电话畅通。</w:t>
      </w:r>
    </w:p>
    <w:p w14:paraId="3B041386">
      <w:pPr>
        <w:numPr>
          <w:ilvl w:val="0"/>
          <w:numId w:val="0"/>
        </w:numPr>
        <w:spacing w:line="360" w:lineRule="auto"/>
        <w:ind w:left="420" w:leftChars="200" w:firstLine="0" w:firstLineChars="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3.3</w:t>
      </w:r>
      <w:r>
        <w:rPr>
          <w:rFonts w:hint="default" w:ascii="Times New Roman" w:hAnsi="Times New Roman" w:eastAsia="宋体" w:cs="Times New Roman"/>
          <w:sz w:val="24"/>
          <w:szCs w:val="24"/>
        </w:rPr>
        <w:t>实验室人员须具备相应资质，责任心强，工作严谨，分析能力强且细致。</w:t>
      </w:r>
    </w:p>
    <w:p w14:paraId="41CD707E">
      <w:pPr>
        <w:numPr>
          <w:ilvl w:val="0"/>
          <w:numId w:val="0"/>
        </w:numPr>
        <w:spacing w:line="360" w:lineRule="auto"/>
        <w:ind w:left="420" w:leftChars="200" w:firstLine="0" w:firstLineChars="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3.4</w:t>
      </w:r>
      <w:r>
        <w:rPr>
          <w:rFonts w:hint="default" w:ascii="Times New Roman" w:hAnsi="Times New Roman" w:eastAsia="宋体" w:cs="Times New Roman"/>
          <w:sz w:val="24"/>
          <w:szCs w:val="24"/>
        </w:rPr>
        <w:t>服务方使用的仪器设备、试剂耗材必须符合国家体外诊断相关法律法规要求。</w:t>
      </w:r>
    </w:p>
    <w:p w14:paraId="1D22E6BB">
      <w:pPr>
        <w:spacing w:line="360" w:lineRule="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履约验收标准</w:t>
      </w:r>
    </w:p>
    <w:p w14:paraId="57D82B09">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服务方履约情况将依据以下量化标准进行考核：</w:t>
      </w:r>
    </w:p>
    <w:p w14:paraId="028D67F3">
      <w:pPr>
        <w:numPr>
          <w:ilvl w:val="0"/>
          <w:numId w:val="0"/>
        </w:numPr>
        <w:spacing w:line="360" w:lineRule="auto"/>
        <w:ind w:left="425" w:leftChars="0" w:hanging="5" w:firstLineChars="0"/>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1.</w:t>
      </w:r>
      <w:r>
        <w:rPr>
          <w:rFonts w:hint="default" w:ascii="Times New Roman" w:hAnsi="Times New Roman" w:eastAsia="宋体" w:cs="Times New Roman"/>
          <w:sz w:val="24"/>
          <w:szCs w:val="24"/>
        </w:rPr>
        <w:t>标本</w:t>
      </w:r>
      <w:r>
        <w:rPr>
          <w:rFonts w:hint="default" w:ascii="Times New Roman" w:hAnsi="Times New Roman" w:eastAsia="宋体" w:cs="Times New Roman"/>
          <w:sz w:val="24"/>
          <w:szCs w:val="24"/>
          <w:lang w:val="en-US" w:eastAsia="zh-CN"/>
        </w:rPr>
        <w:t>送检</w:t>
      </w:r>
      <w:r>
        <w:rPr>
          <w:rFonts w:hint="default" w:ascii="Times New Roman" w:hAnsi="Times New Roman" w:eastAsia="宋体" w:cs="Times New Roman"/>
          <w:sz w:val="24"/>
          <w:szCs w:val="24"/>
        </w:rPr>
        <w:t>及时率：</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 </w:t>
      </w:r>
      <w:r>
        <w:rPr>
          <w:rFonts w:hint="default" w:ascii="Times New Roman" w:hAnsi="Times New Roman" w:eastAsia="宋体" w:cs="Times New Roman"/>
          <w:sz w:val="24"/>
          <w:szCs w:val="24"/>
        </w:rPr>
        <w:t>99%。</w:t>
      </w:r>
    </w:p>
    <w:p w14:paraId="27C3C2A8">
      <w:pPr>
        <w:numPr>
          <w:ilvl w:val="0"/>
          <w:numId w:val="0"/>
        </w:numPr>
        <w:spacing w:line="360" w:lineRule="auto"/>
        <w:ind w:left="425" w:leftChars="0" w:hanging="5" w:firstLineChars="0"/>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检测</w:t>
      </w:r>
      <w:r>
        <w:rPr>
          <w:rFonts w:hint="default" w:ascii="Times New Roman" w:hAnsi="Times New Roman" w:eastAsia="宋体" w:cs="Times New Roman"/>
          <w:sz w:val="24"/>
          <w:szCs w:val="24"/>
        </w:rPr>
        <w:t>报告</w:t>
      </w:r>
      <w:r>
        <w:rPr>
          <w:rFonts w:hint="default" w:ascii="Times New Roman" w:hAnsi="Times New Roman" w:eastAsia="宋体" w:cs="Times New Roman"/>
          <w:sz w:val="24"/>
          <w:szCs w:val="24"/>
          <w:lang w:val="en-US" w:eastAsia="zh-CN"/>
        </w:rPr>
        <w:t>回传</w:t>
      </w:r>
      <w:r>
        <w:rPr>
          <w:rFonts w:hint="default" w:ascii="Times New Roman" w:hAnsi="Times New Roman" w:eastAsia="宋体" w:cs="Times New Roman"/>
          <w:sz w:val="24"/>
          <w:szCs w:val="24"/>
        </w:rPr>
        <w:t>及时率：</w:t>
      </w:r>
      <w:r>
        <w:rPr>
          <w:rFonts w:hint="eastAsia" w:ascii="宋体" w:hAnsi="宋体" w:eastAsia="宋体" w:cs="宋体"/>
          <w:sz w:val="24"/>
          <w:szCs w:val="24"/>
        </w:rPr>
        <w:t xml:space="preserve">≥ </w:t>
      </w:r>
      <w:r>
        <w:rPr>
          <w:rFonts w:hint="default" w:ascii="Times New Roman" w:hAnsi="Times New Roman" w:eastAsia="宋体" w:cs="Times New Roman"/>
          <w:sz w:val="24"/>
          <w:szCs w:val="24"/>
        </w:rPr>
        <w:t>99%。</w:t>
      </w:r>
    </w:p>
    <w:p w14:paraId="547212C6">
      <w:pPr>
        <w:numPr>
          <w:ilvl w:val="0"/>
          <w:numId w:val="0"/>
        </w:numPr>
        <w:spacing w:line="360" w:lineRule="auto"/>
        <w:ind w:left="425" w:leftChars="0" w:hanging="5" w:firstLineChars="0"/>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3.</w:t>
      </w:r>
      <w:r>
        <w:rPr>
          <w:rFonts w:hint="default" w:ascii="Times New Roman" w:hAnsi="Times New Roman" w:eastAsia="宋体" w:cs="Times New Roman"/>
          <w:sz w:val="24"/>
          <w:szCs w:val="24"/>
        </w:rPr>
        <w:t xml:space="preserve">标本安全运送：标本丢失或运送错误，年度累计次数 </w:t>
      </w:r>
      <w:r>
        <w:rPr>
          <w:rFonts w:hint="eastAsia" w:ascii="宋体" w:hAnsi="宋体" w:eastAsia="宋体" w:cs="宋体"/>
          <w:sz w:val="24"/>
          <w:szCs w:val="24"/>
        </w:rPr>
        <w:t xml:space="preserve">≤ </w:t>
      </w:r>
      <w:r>
        <w:rPr>
          <w:rFonts w:hint="default" w:ascii="Times New Roman" w:hAnsi="Times New Roman" w:eastAsia="宋体" w:cs="Times New Roman"/>
          <w:sz w:val="24"/>
          <w:szCs w:val="24"/>
        </w:rPr>
        <w:t>1例。</w:t>
      </w:r>
    </w:p>
    <w:p w14:paraId="687ECC64">
      <w:pPr>
        <w:numPr>
          <w:ilvl w:val="0"/>
          <w:numId w:val="0"/>
        </w:numPr>
        <w:spacing w:line="360" w:lineRule="auto"/>
        <w:ind w:left="425" w:leftChars="0" w:hanging="5" w:firstLineChars="0"/>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4.</w:t>
      </w:r>
      <w:r>
        <w:rPr>
          <w:rFonts w:hint="default" w:ascii="Times New Roman" w:hAnsi="Times New Roman" w:eastAsia="宋体" w:cs="Times New Roman"/>
          <w:sz w:val="24"/>
          <w:szCs w:val="24"/>
        </w:rPr>
        <w:t xml:space="preserve">检测质量：参加省级及以上室间质量评价，合格率 </w:t>
      </w:r>
      <w:r>
        <w:rPr>
          <w:rFonts w:hint="eastAsia" w:ascii="宋体" w:hAnsi="宋体" w:eastAsia="宋体" w:cs="宋体"/>
          <w:sz w:val="24"/>
          <w:szCs w:val="24"/>
        </w:rPr>
        <w:t xml:space="preserve">≥ </w:t>
      </w:r>
      <w:r>
        <w:rPr>
          <w:rFonts w:hint="default" w:ascii="Times New Roman" w:hAnsi="Times New Roman" w:eastAsia="宋体" w:cs="Times New Roman"/>
          <w:sz w:val="24"/>
          <w:szCs w:val="24"/>
        </w:rPr>
        <w:t>90%。</w:t>
      </w:r>
    </w:p>
    <w:p w14:paraId="6C4B6D86">
      <w:pPr>
        <w:numPr>
          <w:ilvl w:val="0"/>
          <w:numId w:val="0"/>
        </w:numPr>
        <w:spacing w:line="360" w:lineRule="auto"/>
        <w:ind w:left="425" w:leftChars="0" w:hanging="5" w:firstLineChars="0"/>
        <w:rPr>
          <w:rFonts w:hint="default" w:ascii="Times New Roman" w:hAnsi="Times New Roman" w:eastAsia="宋体" w:cs="Times New Roman"/>
          <w:sz w:val="24"/>
          <w:szCs w:val="24"/>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5.</w:t>
      </w:r>
      <w:r>
        <w:rPr>
          <w:rFonts w:hint="default" w:ascii="Times New Roman" w:hAnsi="Times New Roman" w:cs="Times New Roman"/>
          <w:sz w:val="24"/>
          <w:lang w:val="en-US" w:eastAsia="zh-CN"/>
        </w:rPr>
        <w:t>检测</w:t>
      </w:r>
      <w:r>
        <w:rPr>
          <w:rFonts w:hint="default" w:ascii="Times New Roman" w:hAnsi="Times New Roman" w:cs="Times New Roman"/>
          <w:sz w:val="24"/>
        </w:rPr>
        <w:t>报告内容充分，满足临床需求</w:t>
      </w:r>
      <w:r>
        <w:rPr>
          <w:rFonts w:hint="default" w:ascii="Times New Roman" w:hAnsi="Times New Roman" w:cs="Times New Roman"/>
          <w:sz w:val="24"/>
          <w:lang w:eastAsia="zh-CN"/>
        </w:rPr>
        <w:t>。</w:t>
      </w:r>
    </w:p>
    <w:p w14:paraId="703B6560">
      <w:pPr>
        <w:spacing w:line="360" w:lineRule="auto"/>
        <w:rPr>
          <w:rFonts w:hint="eastAsia" w:ascii="Times New Roman" w:hAnsi="Times New Roman" w:eastAsia="宋体" w:cs="Times New Roman"/>
          <w:sz w:val="24"/>
          <w:szCs w:val="24"/>
          <w:lang w:val="en-US" w:eastAsia="zh-CN"/>
        </w:rPr>
      </w:pPr>
    </w:p>
    <w:p w14:paraId="06BD0CA8">
      <w:pPr>
        <w:spacing w:line="360" w:lineRule="auto"/>
        <w:rPr>
          <w:rFonts w:hint="eastAsia" w:ascii="Times New Roman" w:hAnsi="Times New Roman" w:eastAsia="宋体" w:cs="Times New Roman"/>
          <w:sz w:val="24"/>
          <w:szCs w:val="24"/>
          <w:lang w:val="en-US" w:eastAsia="zh-CN"/>
        </w:rPr>
      </w:pPr>
    </w:p>
    <w:p w14:paraId="2B1046DB">
      <w:pPr>
        <w:spacing w:line="360" w:lineRule="auto"/>
        <w:rPr>
          <w:rFonts w:hint="default" w:ascii="Times New Roman" w:hAnsi="Times New Roman" w:eastAsia="宋体" w:cs="Times New Roman"/>
          <w:b/>
          <w:bCs/>
          <w:sz w:val="32"/>
          <w:szCs w:val="32"/>
        </w:rPr>
      </w:pPr>
      <w:r>
        <w:rPr>
          <w:rFonts w:hint="eastAsia" w:ascii="Times New Roman" w:hAnsi="Times New Roman" w:eastAsia="宋体" w:cs="Times New Roman"/>
          <w:b/>
          <w:bCs/>
          <w:sz w:val="32"/>
          <w:szCs w:val="32"/>
          <w:lang w:val="en-US" w:eastAsia="zh-CN"/>
        </w:rPr>
        <w:t>二</w:t>
      </w:r>
      <w:r>
        <w:rPr>
          <w:rFonts w:hint="default" w:ascii="Times New Roman" w:hAnsi="Times New Roman" w:eastAsia="宋体" w:cs="Times New Roman"/>
          <w:b/>
          <w:bCs/>
          <w:sz w:val="32"/>
          <w:szCs w:val="32"/>
        </w:rPr>
        <w:t>、 商务要求</w:t>
      </w:r>
    </w:p>
    <w:p w14:paraId="787E4171">
      <w:pPr>
        <w:spacing w:line="360" w:lineRule="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1.特定</w:t>
      </w:r>
      <w:r>
        <w:rPr>
          <w:rFonts w:hint="default" w:ascii="Times New Roman" w:hAnsi="Times New Roman" w:eastAsia="宋体" w:cs="Times New Roman"/>
          <w:sz w:val="24"/>
          <w:szCs w:val="24"/>
        </w:rPr>
        <w:t>资格</w:t>
      </w:r>
    </w:p>
    <w:p w14:paraId="2449E1BD">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须具备有效的《医疗机构执业许可证》。</w:t>
      </w:r>
    </w:p>
    <w:p w14:paraId="61311B4E">
      <w:pPr>
        <w:spacing w:line="360" w:lineRule="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 服务期限</w:t>
      </w:r>
    </w:p>
    <w:p w14:paraId="0FD5CF53">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服务期限</w:t>
      </w:r>
      <w:r>
        <w:rPr>
          <w:rFonts w:hint="eastAsia" w:ascii="Times New Roman" w:hAnsi="Times New Roman" w:eastAsia="宋体" w:cs="Times New Roman"/>
          <w:sz w:val="24"/>
          <w:szCs w:val="24"/>
          <w:lang w:val="en-US" w:eastAsia="zh-CN"/>
        </w:rPr>
        <w:t>为两个月</w:t>
      </w:r>
      <w:r>
        <w:rPr>
          <w:rFonts w:hint="default" w:ascii="Times New Roman" w:hAnsi="Times New Roman" w:eastAsia="宋体" w:cs="Times New Roman"/>
          <w:sz w:val="24"/>
          <w:szCs w:val="24"/>
        </w:rPr>
        <w:t>。</w:t>
      </w:r>
    </w:p>
    <w:p w14:paraId="0785203E">
      <w:pPr>
        <w:numPr>
          <w:ilvl w:val="0"/>
          <w:numId w:val="0"/>
        </w:numPr>
        <w:spacing w:line="360" w:lineRule="auto"/>
        <w:ind w:leftChars="0"/>
        <w:rPr>
          <w:rFonts w:hint="default" w:ascii="Times New Roman" w:hAnsi="Times New Roman" w:cs="Times New Roman"/>
          <w:bCs/>
          <w:sz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 履约保证金</w:t>
      </w:r>
    </w:p>
    <w:p w14:paraId="2928E1A1">
      <w:pPr>
        <w:numPr>
          <w:ilvl w:val="0"/>
          <w:numId w:val="0"/>
        </w:numPr>
        <w:spacing w:line="360" w:lineRule="auto"/>
        <w:ind w:leftChars="200"/>
        <w:rPr>
          <w:rFonts w:hint="default" w:ascii="Times New Roman" w:hAnsi="Times New Roman" w:cs="Times New Roman"/>
          <w:bCs/>
          <w:sz w:val="24"/>
        </w:rPr>
      </w:pPr>
      <w:r>
        <w:rPr>
          <w:rFonts w:hint="eastAsia" w:ascii="Times New Roman" w:hAnsi="Times New Roman" w:cs="Times New Roman"/>
          <w:bCs/>
          <w:sz w:val="24"/>
          <w:lang w:val="en-US" w:eastAsia="zh-CN"/>
        </w:rPr>
        <w:t>3.1</w:t>
      </w:r>
      <w:r>
        <w:rPr>
          <w:rFonts w:hint="default" w:ascii="Times New Roman" w:hAnsi="Times New Roman" w:cs="Times New Roman"/>
          <w:bCs/>
          <w:sz w:val="24"/>
        </w:rPr>
        <w:t>在</w:t>
      </w:r>
      <w:r>
        <w:rPr>
          <w:rFonts w:hint="eastAsia" w:ascii="Times New Roman" w:hAnsi="Times New Roman" w:cs="Times New Roman"/>
          <w:bCs/>
          <w:sz w:val="24"/>
          <w:lang w:val="en-US" w:eastAsia="zh-CN"/>
        </w:rPr>
        <w:t>合同签订</w:t>
      </w:r>
      <w:r>
        <w:rPr>
          <w:rFonts w:hint="default" w:ascii="Times New Roman" w:hAnsi="Times New Roman" w:cs="Times New Roman"/>
          <w:bCs/>
          <w:sz w:val="24"/>
        </w:rPr>
        <w:t>前须向</w:t>
      </w:r>
      <w:r>
        <w:rPr>
          <w:rFonts w:hint="eastAsia" w:ascii="Times New Roman" w:hAnsi="Times New Roman" w:cs="Times New Roman"/>
          <w:bCs/>
          <w:sz w:val="24"/>
          <w:lang w:val="en-US" w:eastAsia="zh-CN"/>
        </w:rPr>
        <w:t>采购</w:t>
      </w:r>
      <w:r>
        <w:rPr>
          <w:rFonts w:hint="default" w:ascii="Times New Roman" w:hAnsi="Times New Roman" w:cs="Times New Roman"/>
          <w:bCs/>
          <w:sz w:val="24"/>
        </w:rPr>
        <w:t>方提交履约保证金人民币</w:t>
      </w:r>
      <w:r>
        <w:rPr>
          <w:rFonts w:hint="eastAsia" w:ascii="Times New Roman" w:hAnsi="Times New Roman" w:cs="Times New Roman"/>
          <w:bCs/>
          <w:sz w:val="24"/>
          <w:lang w:val="en-US" w:eastAsia="zh-CN"/>
        </w:rPr>
        <w:t>贰</w:t>
      </w:r>
      <w:r>
        <w:rPr>
          <w:rFonts w:hint="default" w:ascii="Times New Roman" w:hAnsi="Times New Roman" w:eastAsia="宋体" w:cs="Times New Roman"/>
          <w:sz w:val="24"/>
          <w:szCs w:val="24"/>
        </w:rPr>
        <w:t>万元整（￥</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0,000.00）</w:t>
      </w:r>
      <w:r>
        <w:rPr>
          <w:rFonts w:hint="default" w:ascii="Times New Roman" w:hAnsi="Times New Roman" w:cs="Times New Roman"/>
          <w:bCs/>
          <w:sz w:val="24"/>
        </w:rPr>
        <w:t>。</w:t>
      </w:r>
    </w:p>
    <w:p w14:paraId="017B406C">
      <w:pPr>
        <w:numPr>
          <w:ilvl w:val="0"/>
          <w:numId w:val="0"/>
        </w:numPr>
        <w:spacing w:line="360" w:lineRule="auto"/>
        <w:ind w:left="-60" w:leftChars="0" w:firstLine="480" w:firstLineChars="0"/>
        <w:rPr>
          <w:rFonts w:hint="default" w:ascii="Times New Roman" w:hAnsi="Times New Roman" w:cs="Times New Roman"/>
          <w:bCs/>
          <w:sz w:val="24"/>
        </w:rPr>
      </w:pPr>
      <w:r>
        <w:rPr>
          <w:rFonts w:hint="eastAsia" w:ascii="Times New Roman" w:hAnsi="Times New Roman" w:cs="Times New Roman"/>
          <w:bCs/>
          <w:sz w:val="24"/>
          <w:lang w:val="en-US" w:eastAsia="zh-CN"/>
        </w:rPr>
        <w:t>3.2</w:t>
      </w:r>
      <w:r>
        <w:rPr>
          <w:rFonts w:hint="default" w:ascii="Times New Roman" w:hAnsi="Times New Roman" w:cs="Times New Roman"/>
          <w:bCs/>
          <w:sz w:val="24"/>
        </w:rPr>
        <w:t>履约保证金缴纳形式：银行转账或以银行、保险公司出具保函等形式；</w:t>
      </w:r>
    </w:p>
    <w:p w14:paraId="1B8FA735">
      <w:pPr>
        <w:spacing w:line="360" w:lineRule="auto"/>
        <w:rPr>
          <w:rFonts w:hint="default" w:ascii="Times New Roman" w:hAnsi="Times New Roman" w:cs="Times New Roman"/>
          <w:bCs/>
          <w:sz w:val="24"/>
        </w:rPr>
      </w:pPr>
      <w:r>
        <w:rPr>
          <w:rFonts w:hint="default" w:ascii="Times New Roman" w:hAnsi="Times New Roman" w:cs="Times New Roman"/>
          <w:bCs/>
          <w:sz w:val="24"/>
        </w:rPr>
        <w:t>履约保证金接收账户：河南省胸科医院；</w:t>
      </w:r>
    </w:p>
    <w:p w14:paraId="5DB97216">
      <w:pPr>
        <w:spacing w:line="360" w:lineRule="auto"/>
        <w:rPr>
          <w:rFonts w:hint="default" w:ascii="Times New Roman" w:hAnsi="Times New Roman" w:cs="Times New Roman"/>
          <w:bCs/>
          <w:sz w:val="24"/>
        </w:rPr>
      </w:pPr>
      <w:r>
        <w:rPr>
          <w:rFonts w:hint="default" w:ascii="Times New Roman" w:hAnsi="Times New Roman" w:cs="Times New Roman"/>
          <w:bCs/>
          <w:sz w:val="24"/>
        </w:rPr>
        <w:t>履约保证金接收账号：7607 0157 4000 00953；</w:t>
      </w:r>
    </w:p>
    <w:p w14:paraId="3866E133">
      <w:pPr>
        <w:spacing w:line="360" w:lineRule="auto"/>
        <w:rPr>
          <w:rFonts w:hint="default" w:ascii="Times New Roman" w:hAnsi="Times New Roman" w:cs="Times New Roman"/>
          <w:bCs/>
          <w:sz w:val="24"/>
        </w:rPr>
      </w:pPr>
      <w:r>
        <w:rPr>
          <w:rFonts w:hint="default" w:ascii="Times New Roman" w:hAnsi="Times New Roman" w:cs="Times New Roman"/>
          <w:bCs/>
          <w:sz w:val="24"/>
        </w:rPr>
        <w:t>开户行：浦东发展银行郑州东明支行。</w:t>
      </w:r>
      <w:bookmarkStart w:id="1" w:name="_Hlk39601241"/>
    </w:p>
    <w:p w14:paraId="5F3D60C1">
      <w:pPr>
        <w:numPr>
          <w:ilvl w:val="0"/>
          <w:numId w:val="0"/>
        </w:numPr>
        <w:spacing w:line="360" w:lineRule="auto"/>
        <w:ind w:left="-60" w:leftChars="0" w:firstLine="480" w:firstLineChars="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2"/>
          <w:sz w:val="24"/>
          <w:szCs w:val="24"/>
          <w:lang w:val="en-US" w:eastAsia="zh-CN" w:bidi="ar-SA"/>
        </w:rPr>
        <w:t>3.3</w:t>
      </w:r>
      <w:r>
        <w:rPr>
          <w:rFonts w:hint="default" w:ascii="Times New Roman" w:hAnsi="Times New Roman" w:cs="Times New Roman"/>
          <w:bCs/>
          <w:sz w:val="24"/>
        </w:rPr>
        <w:t>履约保证金于服务期满后，依据</w:t>
      </w:r>
      <w:r>
        <w:rPr>
          <w:rFonts w:hint="eastAsia" w:ascii="Times New Roman" w:hAnsi="Times New Roman" w:cs="Times New Roman"/>
          <w:bCs/>
          <w:sz w:val="24"/>
          <w:lang w:val="en-US" w:eastAsia="zh-CN"/>
        </w:rPr>
        <w:t>响应</w:t>
      </w:r>
      <w:r>
        <w:rPr>
          <w:rFonts w:hint="default" w:ascii="Times New Roman" w:hAnsi="Times New Roman" w:cs="Times New Roman"/>
          <w:bCs/>
          <w:sz w:val="24"/>
        </w:rPr>
        <w:t>文件，所承诺的优惠条件、售后服务计划等执行到位后，按规定程序办理支付手续，一次性付清。</w:t>
      </w:r>
      <w:bookmarkEnd w:id="1"/>
    </w:p>
    <w:p w14:paraId="179FE4F8">
      <w:pPr>
        <w:numPr>
          <w:ilvl w:val="0"/>
          <w:numId w:val="0"/>
        </w:numPr>
        <w:spacing w:line="360" w:lineRule="auto"/>
        <w:ind w:left="0" w:leftChars="0" w:firstLine="0" w:firstLineChars="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sz w:val="24"/>
          <w:szCs w:val="24"/>
        </w:rPr>
        <w:t>报价与结算要求</w:t>
      </w:r>
    </w:p>
    <w:p w14:paraId="2708F2FA">
      <w:pPr>
        <w:numPr>
          <w:ilvl w:val="0"/>
          <w:numId w:val="0"/>
        </w:numPr>
        <w:spacing w:line="360" w:lineRule="auto"/>
        <w:ind w:left="0" w:leftChars="0" w:firstLine="397" w:firstLineChars="0"/>
        <w:rPr>
          <w:rFonts w:hint="default" w:ascii="Times New Roman" w:hAnsi="Times New Roman" w:eastAsia="宋体" w:cs="Times New Roman"/>
          <w:b/>
          <w:bCs/>
          <w:color w:val="FF0000"/>
          <w:sz w:val="24"/>
          <w:szCs w:val="24"/>
          <w:highlight w:val="none"/>
        </w:rPr>
      </w:pPr>
      <w:r>
        <w:rPr>
          <w:rFonts w:hint="eastAsia" w:ascii="Times New Roman" w:hAnsi="Times New Roman" w:eastAsia="宋体" w:cs="Times New Roman"/>
          <w:b/>
          <w:bCs/>
          <w:color w:val="auto"/>
          <w:kern w:val="2"/>
          <w:sz w:val="24"/>
          <w:szCs w:val="24"/>
          <w:lang w:val="en-US" w:eastAsia="zh-CN" w:bidi="ar-SA"/>
        </w:rPr>
        <w:t>4.</w:t>
      </w:r>
      <w:r>
        <w:rPr>
          <w:rFonts w:hint="default" w:ascii="Times New Roman" w:hAnsi="Times New Roman"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sz w:val="24"/>
          <w:szCs w:val="24"/>
          <w:highlight w:val="none"/>
          <w:lang w:val="en-US" w:eastAsia="zh-CN"/>
        </w:rPr>
        <w:t>投标报价：物价收费遵照河南省医疗保障局、河南省卫生健康委最新版医疗服务价格汇编执行。</w:t>
      </w:r>
    </w:p>
    <w:p w14:paraId="0839A8C5">
      <w:pPr>
        <w:numPr>
          <w:ilvl w:val="0"/>
          <w:numId w:val="0"/>
        </w:numPr>
        <w:spacing w:line="360" w:lineRule="auto"/>
        <w:ind w:left="0" w:leftChars="0" w:firstLine="397" w:firstLineChars="0"/>
        <w:rPr>
          <w:rFonts w:hint="default" w:ascii="Times New Roman" w:hAnsi="Times New Roman" w:cs="Times New Roman"/>
          <w:sz w:val="24"/>
        </w:rPr>
      </w:pPr>
      <w:r>
        <w:rPr>
          <w:rFonts w:hint="eastAsia" w:ascii="Times New Roman" w:hAnsi="Times New Roman" w:cs="Times New Roman"/>
          <w:color w:val="auto"/>
          <w:kern w:val="2"/>
          <w:sz w:val="24"/>
          <w:szCs w:val="22"/>
          <w:lang w:val="en-US" w:eastAsia="zh-CN" w:bidi="ar-SA"/>
        </w:rPr>
        <w:t>4.</w:t>
      </w:r>
      <w:r>
        <w:rPr>
          <w:rFonts w:hint="default" w:ascii="Times New Roman" w:hAnsi="Times New Roman" w:cs="Times New Roman" w:eastAsiaTheme="minorEastAsia"/>
          <w:color w:val="auto"/>
          <w:kern w:val="2"/>
          <w:sz w:val="24"/>
          <w:szCs w:val="22"/>
          <w:lang w:val="en-US" w:eastAsia="zh-CN" w:bidi="ar-SA"/>
        </w:rPr>
        <w:t>2.</w:t>
      </w:r>
      <w:r>
        <w:rPr>
          <w:rFonts w:hint="default" w:ascii="Times New Roman" w:hAnsi="Times New Roman" w:eastAsia="宋体" w:cs="Times New Roman"/>
          <w:color w:val="auto"/>
          <w:sz w:val="24"/>
          <w:szCs w:val="24"/>
          <w:highlight w:val="none"/>
        </w:rPr>
        <w:t>结算周期：</w:t>
      </w:r>
      <w:r>
        <w:rPr>
          <w:rFonts w:hint="eastAsia" w:ascii="Times New Roman" w:hAnsi="Times New Roman" w:eastAsia="宋体" w:cs="Times New Roman"/>
          <w:color w:val="auto"/>
          <w:sz w:val="24"/>
          <w:szCs w:val="24"/>
          <w:highlight w:val="none"/>
          <w:lang w:val="en-US" w:eastAsia="zh-CN"/>
        </w:rPr>
        <w:t>服务期满后一次性依据双方确定的数量据实</w:t>
      </w:r>
      <w:r>
        <w:rPr>
          <w:rFonts w:hint="default" w:ascii="Times New Roman" w:hAnsi="Times New Roman" w:eastAsia="宋体" w:cs="Times New Roman"/>
          <w:color w:val="auto"/>
          <w:sz w:val="24"/>
          <w:szCs w:val="24"/>
          <w:highlight w:val="none"/>
        </w:rPr>
        <w:t>结算。</w:t>
      </w:r>
    </w:p>
    <w:p w14:paraId="058497D7">
      <w:pPr>
        <w:numPr>
          <w:ilvl w:val="0"/>
          <w:numId w:val="0"/>
        </w:numPr>
        <w:spacing w:line="360" w:lineRule="auto"/>
        <w:ind w:left="0" w:leftChars="0" w:firstLine="397" w:firstLineChars="0"/>
        <w:rPr>
          <w:rFonts w:hint="default" w:ascii="Times New Roman" w:hAnsi="Times New Roman" w:cs="Times New Roman"/>
          <w:sz w:val="24"/>
        </w:rPr>
      </w:pPr>
      <w:r>
        <w:rPr>
          <w:rFonts w:hint="eastAsia" w:ascii="Times New Roman" w:hAnsi="Times New Roman" w:cs="Times New Roman"/>
          <w:color w:val="auto"/>
          <w:kern w:val="2"/>
          <w:sz w:val="24"/>
          <w:szCs w:val="22"/>
          <w:lang w:val="en-US" w:eastAsia="zh-CN" w:bidi="ar-SA"/>
        </w:rPr>
        <w:t>4.</w:t>
      </w:r>
      <w:r>
        <w:rPr>
          <w:rFonts w:hint="default" w:ascii="Times New Roman" w:hAnsi="Times New Roman" w:cs="Times New Roman" w:eastAsiaTheme="minorEastAsia"/>
          <w:color w:val="auto"/>
          <w:kern w:val="2"/>
          <w:sz w:val="24"/>
          <w:szCs w:val="22"/>
          <w:lang w:val="en-US" w:eastAsia="zh-CN" w:bidi="ar-SA"/>
        </w:rPr>
        <w:t>3.</w:t>
      </w:r>
      <w:r>
        <w:rPr>
          <w:rFonts w:hint="default" w:ascii="Times New Roman" w:hAnsi="Times New Roman" w:eastAsia="宋体" w:cs="Times New Roman"/>
          <w:sz w:val="24"/>
          <w:szCs w:val="24"/>
          <w:highlight w:val="none"/>
        </w:rPr>
        <w:t>服务方根据院</w:t>
      </w:r>
      <w:r>
        <w:rPr>
          <w:rFonts w:hint="default" w:ascii="Times New Roman" w:hAnsi="Times New Roman" w:eastAsia="宋体" w:cs="Times New Roman"/>
          <w:sz w:val="24"/>
          <w:szCs w:val="24"/>
          <w:highlight w:val="none"/>
          <w:lang w:val="en-US" w:eastAsia="zh-CN"/>
        </w:rPr>
        <w:t>方</w:t>
      </w:r>
      <w:r>
        <w:rPr>
          <w:rFonts w:hint="default" w:ascii="Times New Roman" w:hAnsi="Times New Roman" w:eastAsia="宋体" w:cs="Times New Roman"/>
          <w:sz w:val="24"/>
          <w:szCs w:val="24"/>
          <w:highlight w:val="none"/>
        </w:rPr>
        <w:t>信息系统确认的实际检测数量</w:t>
      </w:r>
      <w:r>
        <w:rPr>
          <w:rFonts w:hint="default" w:ascii="Times New Roman" w:hAnsi="Times New Roman" w:cs="Times New Roman"/>
          <w:color w:val="000000"/>
          <w:sz w:val="24"/>
          <w:highlight w:val="none"/>
        </w:rPr>
        <w:t>核算检测费用总额，</w:t>
      </w:r>
      <w:r>
        <w:rPr>
          <w:rFonts w:hint="default" w:ascii="Times New Roman" w:hAnsi="Times New Roman" w:eastAsia="宋体" w:cs="Times New Roman"/>
          <w:sz w:val="24"/>
          <w:szCs w:val="24"/>
          <w:highlight w:val="none"/>
        </w:rPr>
        <w:t>并以院</w:t>
      </w:r>
      <w:r>
        <w:rPr>
          <w:rFonts w:hint="default" w:ascii="Times New Roman" w:hAnsi="Times New Roman" w:eastAsia="宋体" w:cs="Times New Roman"/>
          <w:sz w:val="24"/>
          <w:szCs w:val="24"/>
          <w:highlight w:val="none"/>
          <w:lang w:val="en-US" w:eastAsia="zh-CN"/>
        </w:rPr>
        <w:t>方</w:t>
      </w:r>
      <w:r>
        <w:rPr>
          <w:rFonts w:hint="default" w:ascii="Times New Roman" w:hAnsi="Times New Roman" w:eastAsia="宋体" w:cs="Times New Roman"/>
          <w:sz w:val="24"/>
          <w:szCs w:val="24"/>
          <w:highlight w:val="none"/>
        </w:rPr>
        <w:t>全称为抬头开具合法有效的发票。</w:t>
      </w:r>
    </w:p>
    <w:p w14:paraId="3A0E1166">
      <w:pPr>
        <w:spacing w:line="360" w:lineRule="auto"/>
        <w:rPr>
          <w:rFonts w:hint="default" w:ascii="Times New Roman" w:hAnsi="Times New Roman" w:eastAsia="宋体" w:cs="Times New Roman"/>
          <w:sz w:val="24"/>
          <w:szCs w:val="24"/>
        </w:rPr>
      </w:pPr>
    </w:p>
    <w:p w14:paraId="21F60203">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2" w:name="_Toc24908"/>
      <w:r>
        <w:rPr>
          <w:rFonts w:hint="eastAsia"/>
          <w:color w:val="auto"/>
          <w:sz w:val="28"/>
          <w:highlight w:val="none"/>
        </w:rPr>
        <w:t>第一部分资格证明文件</w:t>
      </w:r>
      <w:bookmarkEnd w:id="2"/>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3" w:name="_Toc2479"/>
      <w:bookmarkStart w:id="4"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3"/>
      <w:bookmarkEnd w:id="4"/>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5"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5"/>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6" w:name="_资格证明文件"/>
      <w:bookmarkEnd w:id="6"/>
      <w:bookmarkStart w:id="7" w:name="_Toc31029"/>
      <w:bookmarkStart w:id="8"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7"/>
      <w:bookmarkEnd w:id="8"/>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9" w:name="_Toc26111"/>
      <w:bookmarkStart w:id="10" w:name="_Toc4559"/>
      <w:bookmarkStart w:id="11"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9"/>
      <w:bookmarkEnd w:id="10"/>
      <w:bookmarkEnd w:id="11"/>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9"/>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9"/>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2" w:name="_Toc19319"/>
      <w:bookmarkStart w:id="13" w:name="_Toc24403"/>
      <w:bookmarkStart w:id="14"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2"/>
      <w:bookmarkEnd w:id="13"/>
      <w:bookmarkEnd w:id="14"/>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5" w:name="_Toc10542"/>
      <w:bookmarkStart w:id="16" w:name="_Toc1972"/>
    </w:p>
    <w:p w14:paraId="11FCB31D">
      <w:pPr>
        <w:pStyle w:val="4"/>
        <w:spacing w:before="0" w:after="0"/>
        <w:jc w:val="center"/>
        <w:rPr>
          <w:color w:val="auto"/>
          <w:sz w:val="28"/>
          <w:szCs w:val="28"/>
          <w:highlight w:val="none"/>
        </w:rPr>
      </w:pPr>
      <w:bookmarkStart w:id="17" w:name="_Toc32290"/>
      <w:r>
        <w:rPr>
          <w:rFonts w:hint="eastAsia"/>
          <w:color w:val="auto"/>
          <w:sz w:val="28"/>
          <w:szCs w:val="28"/>
          <w:highlight w:val="none"/>
        </w:rPr>
        <w:t>五、有依法缴纳税收和社会保障资金的良好记录</w:t>
      </w:r>
      <w:bookmarkEnd w:id="15"/>
      <w:bookmarkEnd w:id="16"/>
      <w:bookmarkEnd w:id="17"/>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8" w:name="_Toc8953"/>
      <w:bookmarkStart w:id="19" w:name="_Toc31728"/>
      <w:bookmarkStart w:id="20" w:name="_Toc3266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8"/>
      <w:bookmarkEnd w:id="19"/>
      <w:bookmarkEnd w:id="20"/>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1" w:name="_Toc925"/>
      <w:r>
        <w:rPr>
          <w:rFonts w:hint="eastAsia"/>
          <w:color w:val="auto"/>
          <w:sz w:val="24"/>
          <w:highlight w:val="none"/>
        </w:rPr>
        <w:br w:type="page"/>
      </w:r>
      <w:bookmarkEnd w:id="21"/>
      <w:bookmarkStart w:id="22" w:name="_Toc28112"/>
      <w:bookmarkStart w:id="23" w:name="_Toc11219"/>
      <w:bookmarkStart w:id="24"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2"/>
      <w:bookmarkEnd w:id="23"/>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4"/>
    <w:p w14:paraId="6D8B67AE">
      <w:pPr>
        <w:bidi w:val="0"/>
        <w:rPr>
          <w:rFonts w:hint="eastAsia"/>
          <w:lang w:eastAsia="zh-CN"/>
        </w:rPr>
      </w:pPr>
      <w:bookmarkStart w:id="25"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6" w:name="_Toc3305"/>
      <w:r>
        <w:rPr>
          <w:rFonts w:hint="eastAsia"/>
          <w:color w:val="auto"/>
          <w:sz w:val="28"/>
          <w:szCs w:val="36"/>
          <w:highlight w:val="none"/>
          <w:lang w:eastAsia="zh-CN"/>
        </w:rPr>
        <w:t>九、无关联关系声明</w:t>
      </w:r>
      <w:bookmarkEnd w:id="25"/>
      <w:bookmarkEnd w:id="26"/>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27" w:name="_Toc29119"/>
      <w:r>
        <w:rPr>
          <w:rFonts w:hint="eastAsia"/>
          <w:color w:val="auto"/>
          <w:sz w:val="28"/>
          <w:highlight w:val="none"/>
        </w:rPr>
        <w:t>第二部分商务、技术文件</w:t>
      </w:r>
      <w:bookmarkEnd w:id="27"/>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8"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8"/>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报价</w:t>
            </w:r>
          </w:p>
        </w:tc>
        <w:tc>
          <w:tcPr>
            <w:tcW w:w="6780" w:type="dxa"/>
            <w:vAlign w:val="center"/>
          </w:tcPr>
          <w:p w14:paraId="009866BF">
            <w:pPr>
              <w:tabs>
                <w:tab w:val="left" w:pos="926"/>
                <w:tab w:val="left" w:pos="4335"/>
                <w:tab w:val="left" w:pos="4515"/>
                <w:tab w:val="left" w:pos="7227"/>
              </w:tabs>
              <w:ind w:firstLine="240" w:firstLineChars="100"/>
              <w:jc w:val="left"/>
              <w:rPr>
                <w:rFonts w:hint="eastAsia"/>
                <w:lang w:eastAsia="zh-CN"/>
              </w:rPr>
            </w:pPr>
            <w:r>
              <w:rPr>
                <w:rFonts w:hint="default" w:ascii="Times New Roman" w:hAnsi="Times New Roman" w:eastAsia="宋体" w:cs="Times New Roman"/>
                <w:color w:val="auto"/>
                <w:sz w:val="24"/>
                <w:szCs w:val="24"/>
                <w:highlight w:val="none"/>
                <w:lang w:val="en-US" w:eastAsia="zh-CN"/>
              </w:rPr>
              <w:t>投标报价：物价收费遵照河南省医疗保障局、河南省卫生健康委最新版医疗服务价格汇编执行</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611E3F1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108C9E6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bookmarkStart w:id="54" w:name="_GoBack"/>
      <w:bookmarkEnd w:id="54"/>
    </w:p>
    <w:p w14:paraId="50D7EBE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81BA36B">
      <w:pPr>
        <w:rPr>
          <w:rFonts w:hint="eastAsia"/>
        </w:rPr>
      </w:pPr>
    </w:p>
    <w:p w14:paraId="2560A367">
      <w:pPr>
        <w:pStyle w:val="4"/>
        <w:spacing w:before="0" w:after="0"/>
        <w:jc w:val="center"/>
        <w:rPr>
          <w:color w:val="auto"/>
          <w:sz w:val="28"/>
          <w:highlight w:val="none"/>
        </w:rPr>
      </w:pPr>
      <w:bookmarkStart w:id="29" w:name="_Toc30834"/>
      <w:bookmarkStart w:id="30" w:name="_Toc21266"/>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9"/>
      <w:bookmarkEnd w:id="30"/>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1"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31"/>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2" w:name="_Toc11982"/>
      <w:bookmarkStart w:id="33"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2"/>
      <w:bookmarkEnd w:id="33"/>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4" w:name="_Toc23816"/>
      <w:bookmarkStart w:id="35"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4"/>
      <w:bookmarkEnd w:id="35"/>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6" w:name="_Toc4948"/>
      <w:bookmarkStart w:id="37" w:name="_Toc2922"/>
      <w:bookmarkStart w:id="38" w:name="_Toc12801"/>
      <w:bookmarkStart w:id="39" w:name="_Toc28583"/>
      <w:bookmarkStart w:id="40" w:name="_Toc337554798"/>
      <w:bookmarkStart w:id="41" w:name="_Toc4599"/>
      <w:bookmarkStart w:id="42" w:name="_Toc29526"/>
      <w:bookmarkStart w:id="43" w:name="_Toc337475928"/>
      <w:bookmarkStart w:id="44" w:name="_Toc15867"/>
      <w:bookmarkStart w:id="45" w:name="_Toc30765"/>
      <w:bookmarkStart w:id="46" w:name="_Toc320878714"/>
      <w:bookmarkStart w:id="47" w:name="_Toc304219331"/>
      <w:bookmarkStart w:id="48" w:name="_Toc10750"/>
      <w:bookmarkStart w:id="49" w:name="_Toc349642319"/>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6"/>
      <w:bookmarkEnd w:id="37"/>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0" w:name="_Toc8810"/>
      <w:bookmarkStart w:id="51" w:name="_Toc7716"/>
      <w:r>
        <w:rPr>
          <w:rFonts w:hint="eastAsia"/>
          <w:sz w:val="28"/>
          <w:szCs w:val="28"/>
          <w:lang w:val="en-US" w:eastAsia="zh-CN"/>
        </w:rPr>
        <w:t>八、优惠承诺</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2" w:name="_Toc17593"/>
      <w:bookmarkStart w:id="53" w:name="_Toc11154"/>
      <w:r>
        <w:rPr>
          <w:rFonts w:hint="eastAsia"/>
          <w:sz w:val="28"/>
          <w:szCs w:val="28"/>
          <w:lang w:val="en-US" w:eastAsia="zh-CN"/>
        </w:rPr>
        <w:t>九、</w:t>
      </w:r>
      <w:bookmarkEnd w:id="52"/>
      <w:bookmarkEnd w:id="53"/>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43AF1"/>
    <w:multiLevelType w:val="singleLevel"/>
    <w:tmpl w:val="86B43AF1"/>
    <w:lvl w:ilvl="0" w:tentative="0">
      <w:start w:val="1"/>
      <w:numFmt w:val="lowerLetter"/>
      <w:lvlText w:val="%1."/>
      <w:lvlJc w:val="left"/>
      <w:pPr>
        <w:ind w:left="425" w:hanging="425"/>
      </w:pPr>
      <w:rPr>
        <w:rFonts w:hint="default"/>
      </w:rPr>
    </w:lvl>
  </w:abstractNum>
  <w:abstractNum w:abstractNumId="1">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2">
    <w:nsid w:val="BBE8CF58"/>
    <w:multiLevelType w:val="singleLevel"/>
    <w:tmpl w:val="BBE8CF58"/>
    <w:lvl w:ilvl="0" w:tentative="0">
      <w:start w:val="1"/>
      <w:numFmt w:val="lowerLetter"/>
      <w:lvlText w:val="%1."/>
      <w:lvlJc w:val="left"/>
      <w:pPr>
        <w:ind w:left="425" w:hanging="425"/>
      </w:pPr>
      <w:rPr>
        <w:rFonts w:hint="default"/>
      </w:rPr>
    </w:lvl>
  </w:abstractNum>
  <w:abstractNum w:abstractNumId="3">
    <w:nsid w:val="C63A744F"/>
    <w:multiLevelType w:val="singleLevel"/>
    <w:tmpl w:val="C63A744F"/>
    <w:lvl w:ilvl="0" w:tentative="0">
      <w:start w:val="1"/>
      <w:numFmt w:val="lowerLetter"/>
      <w:lvlText w:val="%1."/>
      <w:lvlJc w:val="left"/>
      <w:pPr>
        <w:ind w:left="425" w:hanging="425"/>
      </w:pPr>
      <w:rPr>
        <w:rFonts w:hint="default"/>
      </w:rPr>
    </w:lvl>
  </w:abstractNum>
  <w:abstractNum w:abstractNumId="4">
    <w:nsid w:val="C852A28F"/>
    <w:multiLevelType w:val="multilevel"/>
    <w:tmpl w:val="C852A28F"/>
    <w:lvl w:ilvl="0" w:tentative="0">
      <w:start w:val="1"/>
      <w:numFmt w:val="chineseCounting"/>
      <w:suff w:val="nothing"/>
      <w:lvlText w:val="%1、"/>
      <w:lvlJc w:val="left"/>
      <w:pPr>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0C055BF0"/>
    <w:multiLevelType w:val="singleLevel"/>
    <w:tmpl w:val="0C055BF0"/>
    <w:lvl w:ilvl="0" w:tentative="0">
      <w:start w:val="1"/>
      <w:numFmt w:val="lowerLetter"/>
      <w:lvlText w:val="%1."/>
      <w:lvlJc w:val="left"/>
      <w:pPr>
        <w:ind w:left="425" w:hanging="425"/>
      </w:pPr>
      <w:rPr>
        <w:rFonts w:hint="default"/>
      </w:rPr>
    </w:lvl>
  </w:abstractNum>
  <w:abstractNum w:abstractNumId="6">
    <w:nsid w:val="4E6F3E41"/>
    <w:multiLevelType w:val="singleLevel"/>
    <w:tmpl w:val="4E6F3E41"/>
    <w:lvl w:ilvl="0" w:tentative="0">
      <w:start w:val="2"/>
      <w:numFmt w:val="chineseCounting"/>
      <w:suff w:val="space"/>
      <w:lvlText w:val="第%1章"/>
      <w:lvlJc w:val="left"/>
      <w:rPr>
        <w:rFonts w:hint="eastAsia"/>
      </w:rPr>
    </w:lvl>
  </w:abstractNum>
  <w:abstractNum w:abstractNumId="7">
    <w:nsid w:val="5318AA50"/>
    <w:multiLevelType w:val="multilevel"/>
    <w:tmpl w:val="5318AA50"/>
    <w:lvl w:ilvl="0" w:tentative="0">
      <w:start w:val="1"/>
      <w:numFmt w:val="decimal"/>
      <w:suff w:val="nothing"/>
      <w:lvlText w:val="%1．"/>
      <w:lvlJc w:val="left"/>
      <w:pPr>
        <w:ind w:left="0" w:firstLine="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8">
    <w:nsid w:val="7AEC67BD"/>
    <w:multiLevelType w:val="singleLevel"/>
    <w:tmpl w:val="7AEC67BD"/>
    <w:lvl w:ilvl="0" w:tentative="0">
      <w:start w:val="1"/>
      <w:numFmt w:val="lowerLetter"/>
      <w:lvlText w:val="%1."/>
      <w:lvlJc w:val="left"/>
      <w:pPr>
        <w:ind w:left="425" w:hanging="425"/>
      </w:pPr>
      <w:rPr>
        <w:rFonts w:hint="default"/>
      </w:rPr>
    </w:lvl>
  </w:abstractNum>
  <w:num w:numId="1">
    <w:abstractNumId w:val="6"/>
  </w:num>
  <w:num w:numId="2">
    <w:abstractNumId w:val="4"/>
  </w:num>
  <w:num w:numId="3">
    <w:abstractNumId w:val="7"/>
  </w:num>
  <w:num w:numId="4">
    <w:abstractNumId w:val="3"/>
  </w:num>
  <w:num w:numId="5">
    <w:abstractNumId w:val="0"/>
  </w:num>
  <w:num w:numId="6">
    <w:abstractNumId w:val="5"/>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5EC577E"/>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5A9E"/>
    <w:rsid w:val="204772EB"/>
    <w:rsid w:val="205F1871"/>
    <w:rsid w:val="207C6895"/>
    <w:rsid w:val="20B94B7A"/>
    <w:rsid w:val="213C39D7"/>
    <w:rsid w:val="21811E94"/>
    <w:rsid w:val="2196292B"/>
    <w:rsid w:val="21C470C8"/>
    <w:rsid w:val="220646A2"/>
    <w:rsid w:val="22144805"/>
    <w:rsid w:val="22323F2B"/>
    <w:rsid w:val="2274615D"/>
    <w:rsid w:val="230A6212"/>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BF25C3"/>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520C0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7B14E9"/>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3D292E"/>
    <w:rsid w:val="614F7DE8"/>
    <w:rsid w:val="61550FF1"/>
    <w:rsid w:val="61D71F16"/>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1A5C42"/>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7FB40E42"/>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34</Pages>
  <Words>6006</Words>
  <Characters>6272</Characters>
  <Lines>315</Lines>
  <Paragraphs>88</Paragraphs>
  <TotalTime>8</TotalTime>
  <ScaleCrop>false</ScaleCrop>
  <LinksUpToDate>false</LinksUpToDate>
  <CharactersWithSpaces>6919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2026-02-05T02:48:45Z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1C807B30BB2D40139FFC4C40F1CA139D_13</vt:lpwstr>
  </property>
  <property fmtid="{D5CDD505-2E9C-101B-9397-08002B2CF9AE}" pid="4" name="KSOTemplateDocerSaveRecord">
    <vt:lpwstr>eyJoZGlkIjoiMDMxYzc3MGIxYzU2OTljNjVjNTFmNTA1NzBkMDlhODAiLCJ1c2VySWQiOiIxNTkzMTM1MzczIn0=</vt:lpwstr>
  </property>
</Properties>
</file>