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bookmarkStart w:id="67" w:name="_GoBack"/>
      <w:r>
        <w:rPr>
          <w:rFonts w:hint="eastAsia" w:ascii="宋体" w:hAnsi="宋体" w:cs="宋体"/>
          <w:b/>
          <w:sz w:val="40"/>
          <w:szCs w:val="40"/>
          <w:highlight w:val="green"/>
          <w:lang w:eastAsia="zh-CN"/>
        </w:rPr>
        <w:t>河南省胸科医院手术摄像系统采购项目（</w:t>
      </w:r>
      <w:r>
        <w:rPr>
          <w:rFonts w:hint="eastAsia" w:ascii="宋体" w:hAnsi="宋体" w:cs="宋体"/>
          <w:b/>
          <w:sz w:val="40"/>
          <w:szCs w:val="40"/>
          <w:highlight w:val="green"/>
          <w:lang w:val="en-US" w:eastAsia="zh-CN"/>
        </w:rPr>
        <w:t>二次</w:t>
      </w:r>
      <w:r>
        <w:rPr>
          <w:rFonts w:hint="eastAsia" w:ascii="宋体" w:hAnsi="宋体" w:cs="宋体"/>
          <w:b/>
          <w:sz w:val="40"/>
          <w:szCs w:val="40"/>
          <w:highlight w:val="green"/>
          <w:lang w:eastAsia="zh-CN"/>
        </w:rPr>
        <w:t>）</w:t>
      </w:r>
    </w:p>
    <w:bookmarkEnd w:id="67"/>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020</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4381E05B">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河南省胸科医院手术摄像系统采购项目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河南省胸科医院手术摄像系统采购项目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yellow"/>
        </w:rPr>
        <w:t>手术摄像系统</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套</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20</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2026年3月6日至2026年3月10日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168DF619">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5CCC875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.数量1套</w:t>
      </w:r>
    </w:p>
    <w:p w14:paraId="1B84203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2.适用于心脏外科等科室</w:t>
      </w:r>
      <w:r>
        <w:rPr>
          <w:rFonts w:hint="eastAsia" w:ascii="宋体" w:hAnsi="宋体" w:eastAsia="宋体" w:cs="宋体"/>
          <w:sz w:val="24"/>
          <w:szCs w:val="24"/>
        </w:rPr>
        <w:t>。</w:t>
      </w:r>
    </w:p>
    <w:p w14:paraId="3B57F6A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3.头戴式，工程学设计，重量轻，佩戴舒适，标明头戴部分实际重量</w:t>
      </w:r>
      <w:r>
        <w:rPr>
          <w:rFonts w:hint="eastAsia" w:ascii="宋体" w:hAnsi="宋体" w:eastAsia="宋体" w:cs="宋体"/>
          <w:sz w:val="24"/>
          <w:szCs w:val="24"/>
          <w:lang w:eastAsia="zh-CN"/>
        </w:rPr>
        <w:t>。</w:t>
      </w:r>
    </w:p>
    <w:p w14:paraId="2294F60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4.配备可充电电池≥2块</w:t>
      </w:r>
      <w:r>
        <w:rPr>
          <w:rFonts w:hint="eastAsia" w:ascii="宋体" w:hAnsi="宋体" w:eastAsia="宋体" w:cs="宋体"/>
          <w:sz w:val="24"/>
          <w:szCs w:val="24"/>
          <w:lang w:eastAsia="zh-CN"/>
        </w:rPr>
        <w:t>。</w:t>
      </w:r>
    </w:p>
    <w:p w14:paraId="3610F43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5.LED光源照明，亮度可调节，光斑大小可调节</w:t>
      </w:r>
      <w:r>
        <w:rPr>
          <w:rFonts w:hint="eastAsia" w:ascii="宋体" w:hAnsi="宋体" w:eastAsia="宋体" w:cs="宋体"/>
          <w:sz w:val="24"/>
          <w:szCs w:val="24"/>
          <w:lang w:eastAsia="zh-CN"/>
        </w:rPr>
        <w:t>。</w:t>
      </w:r>
    </w:p>
    <w:p w14:paraId="4842D0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6.具备录像功能、拍照功能，可同步录音。</w:t>
      </w:r>
    </w:p>
    <w:p w14:paraId="2C318CE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7.录像分辨率≥1920×1080</w:t>
      </w:r>
      <w:r>
        <w:rPr>
          <w:rFonts w:hint="eastAsia" w:ascii="宋体" w:hAnsi="宋体" w:eastAsia="宋体" w:cs="宋体"/>
          <w:sz w:val="24"/>
          <w:szCs w:val="24"/>
          <w:lang w:eastAsia="zh-CN"/>
        </w:rPr>
        <w:t>。</w:t>
      </w:r>
    </w:p>
    <w:p w14:paraId="080186C6">
      <w:pPr>
        <w:spacing w:line="360" w:lineRule="auto"/>
        <w:rPr>
          <w:rFonts w:hint="default"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8.配置清单：无</w:t>
      </w:r>
    </w:p>
    <w:p w14:paraId="58F7B821">
      <w:pPr>
        <w:spacing w:line="360" w:lineRule="auto"/>
        <w:rPr>
          <w:rFonts w:hint="default" w:ascii="宋体" w:hAnsi="宋体"/>
          <w:b/>
          <w:bCs/>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6610A317">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4D2D38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≥5年</w:t>
      </w:r>
      <w:r>
        <w:rPr>
          <w:rFonts w:hint="eastAsia" w:ascii="宋体" w:hAnsi="宋体" w:cs="宋体"/>
          <w:color w:val="000000" w:themeColor="text1"/>
          <w:sz w:val="24"/>
          <w14:textFill>
            <w14:solidFill>
              <w14:schemeClr w14:val="tx1"/>
            </w14:solidFill>
          </w14:textFill>
        </w:rPr>
        <w:t>（供应商需明确具体年数）</w:t>
      </w:r>
    </w:p>
    <w:p w14:paraId="0E558DA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45A331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07CEE455">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4B2BB499">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65FB7CF3">
      <w:pPr>
        <w:pStyle w:val="69"/>
        <w:numPr>
          <w:ilvl w:val="0"/>
          <w:numId w:val="0"/>
        </w:numPr>
        <w:autoSpaceDE w:val="0"/>
        <w:autoSpaceDN w:val="0"/>
        <w:spacing w:line="360" w:lineRule="auto"/>
        <w:ind w:left="420" w:leftChars="0"/>
        <w:jc w:val="left"/>
        <w:rPr>
          <w:rFonts w:hint="eastAsia" w:ascii="宋体" w:hAnsi="宋体" w:cs="等线"/>
          <w:sz w:val="24"/>
          <w:lang w:eastAsia="zh-CN"/>
        </w:rPr>
      </w:pPr>
    </w:p>
    <w:p w14:paraId="0778CFB3">
      <w:pPr>
        <w:pStyle w:val="69"/>
        <w:numPr>
          <w:ilvl w:val="0"/>
          <w:numId w:val="0"/>
        </w:numPr>
        <w:spacing w:line="360" w:lineRule="auto"/>
        <w:ind w:firstLine="480" w:firstLineChars="200"/>
        <w:rPr>
          <w:rFonts w:hint="eastAsia" w:ascii="宋体" w:hAnsi="宋体"/>
          <w:sz w:val="24"/>
          <w:lang w:val="en-US" w:eastAsia="zh-CN"/>
        </w:rPr>
      </w:pPr>
    </w:p>
    <w:p w14:paraId="4C1E8BD4">
      <w:pPr>
        <w:pStyle w:val="69"/>
        <w:numPr>
          <w:ilvl w:val="0"/>
          <w:numId w:val="0"/>
        </w:numPr>
        <w:spacing w:line="360" w:lineRule="auto"/>
        <w:ind w:firstLine="480" w:firstLineChars="200"/>
        <w:rPr>
          <w:rFonts w:hint="eastAsia" w:ascii="宋体" w:hAnsi="宋体"/>
          <w:sz w:val="24"/>
          <w:lang w:val="en-US" w:eastAsia="zh-CN"/>
        </w:rPr>
      </w:pPr>
    </w:p>
    <w:p w14:paraId="069CADF6">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56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04219290"/>
      <w:bookmarkStart w:id="38" w:name="_Toc337475887"/>
      <w:bookmarkStart w:id="39" w:name="_Toc320878673"/>
      <w:bookmarkStart w:id="40" w:name="_Toc349642274"/>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15867"/>
      <w:bookmarkStart w:id="52" w:name="_Toc30765"/>
      <w:bookmarkStart w:id="53" w:name="_Toc304219331"/>
      <w:bookmarkStart w:id="54" w:name="_Toc320878714"/>
      <w:bookmarkStart w:id="55" w:name="_Toc337554798"/>
      <w:bookmarkStart w:id="56" w:name="_Toc349642319"/>
      <w:bookmarkStart w:id="57" w:name="_Toc12801"/>
      <w:bookmarkStart w:id="58" w:name="_Toc29526"/>
      <w:bookmarkStart w:id="59" w:name="_Toc10750"/>
      <w:bookmarkStart w:id="60" w:name="_Toc28583"/>
      <w:bookmarkStart w:id="61" w:name="_Toc337475928"/>
      <w:bookmarkStart w:id="62" w:name="_Toc4599"/>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B0B46"/>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5A714B"/>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3545</Words>
  <Characters>3740</Characters>
  <Lines>315</Lines>
  <Paragraphs>88</Paragraphs>
  <TotalTime>6</TotalTime>
  <ScaleCrop>false</ScaleCrop>
  <LinksUpToDate>false</LinksUpToDate>
  <CharactersWithSpaces>4194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2026-03-05T01:12:45Z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99757B3BBF2C4A94BD2034CC769F26A0_13</vt:lpwstr>
  </property>
  <property fmtid="{D5CDD505-2E9C-101B-9397-08002B2CF9AE}" pid="4" name="KSOTemplateDocerSaveRecord">
    <vt:lpwstr>eyJoZGlkIjoiMDMxYzc3MGIxYzU2OTljNjVjNTFmNTA1NzBkMDlhODAiLCJ1c2VySWQiOiIxNTkzMTM1MzczIn0=</vt:lpwstr>
  </property>
</Properties>
</file>