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widowControl/>
        <w:rPr>
          <w:rFonts w:hint="default" w:eastAsiaTheme="minorEastAsia"/>
          <w:b/>
          <w:color w:val="auto"/>
          <w:sz w:val="44"/>
          <w:szCs w:val="44"/>
          <w:highlight w:val="none"/>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271DCAE7">
      <w:pPr>
        <w:jc w:val="center"/>
        <w:rPr>
          <w:rFonts w:hint="eastAsia" w:ascii="宋体" w:hAnsi="宋体" w:cs="宋体"/>
          <w:b/>
          <w:sz w:val="40"/>
          <w:szCs w:val="40"/>
          <w:lang w:eastAsia="zh-CN"/>
        </w:rPr>
      </w:pPr>
      <w:r>
        <w:rPr>
          <w:rFonts w:hint="eastAsia" w:ascii="宋体" w:hAnsi="宋体" w:cs="宋体"/>
          <w:b/>
          <w:sz w:val="40"/>
          <w:szCs w:val="40"/>
        </w:rPr>
        <w:t>河南省胸科医院</w:t>
      </w:r>
      <w:r>
        <w:rPr>
          <w:rFonts w:hint="eastAsia" w:ascii="宋体" w:hAnsi="宋体" w:cs="宋体"/>
          <w:b/>
          <w:sz w:val="40"/>
          <w:szCs w:val="40"/>
          <w:lang w:eastAsia="zh-CN"/>
        </w:rPr>
        <w:t>便携式睡眠呼吸监测仪</w:t>
      </w:r>
    </w:p>
    <w:p w14:paraId="75E3E65C">
      <w:pPr>
        <w:jc w:val="center"/>
        <w:rPr>
          <w:rFonts w:ascii="宋体" w:hAnsi="宋体" w:cs="宋体"/>
          <w:b/>
          <w:color w:val="000000" w:themeColor="text1"/>
          <w:sz w:val="40"/>
          <w:szCs w:val="40"/>
          <w:u w:val="none"/>
          <w14:textFill>
            <w14:solidFill>
              <w14:schemeClr w14:val="tx1"/>
            </w14:solidFill>
          </w14:textFill>
        </w:rPr>
      </w:pPr>
      <w:r>
        <w:rPr>
          <w:rFonts w:hint="eastAsia" w:ascii="宋体" w:hAnsi="宋体" w:cs="宋体"/>
          <w:b/>
          <w:sz w:val="40"/>
          <w:szCs w:val="40"/>
          <w:lang w:eastAsia="zh-CN"/>
        </w:rPr>
        <w:t>采购项目</w:t>
      </w:r>
    </w:p>
    <w:p w14:paraId="3D87F643">
      <w:pPr>
        <w:ind w:firstLine="803" w:firstLineChars="200"/>
        <w:jc w:val="center"/>
        <w:rPr>
          <w:rFonts w:ascii="宋体" w:hAnsi="宋体" w:cs="宋体"/>
          <w:b/>
          <w:sz w:val="40"/>
          <w:szCs w:val="40"/>
        </w:rPr>
      </w:pPr>
    </w:p>
    <w:p w14:paraId="3AF4C00E">
      <w:pPr>
        <w:jc w:val="center"/>
        <w:rPr>
          <w:rFonts w:ascii="宋体" w:hAnsi="宋体" w:cs="宋体"/>
          <w:b/>
          <w:sz w:val="40"/>
          <w:szCs w:val="40"/>
        </w:rPr>
      </w:pPr>
    </w:p>
    <w:p w14:paraId="74235736">
      <w:pPr>
        <w:pStyle w:val="29"/>
      </w:pPr>
    </w:p>
    <w:p w14:paraId="6D068E7F">
      <w:pPr>
        <w:widowControl/>
        <w:spacing w:line="360" w:lineRule="auto"/>
        <w:jc w:val="center"/>
        <w:outlineLvl w:val="0"/>
        <w:rPr>
          <w:b/>
          <w:sz w:val="52"/>
          <w:szCs w:val="52"/>
        </w:rPr>
      </w:pPr>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rPr>
      </w:pPr>
    </w:p>
    <w:p w14:paraId="63BADE2E">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eastAsia="zh-CN"/>
        </w:rPr>
        <w:t>202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none"/>
          <w:lang w:val="en-US" w:eastAsia="zh-CN"/>
        </w:rPr>
        <w:t>021</w:t>
      </w:r>
    </w:p>
    <w:p w14:paraId="214E5E61">
      <w:pPr>
        <w:widowControl/>
        <w:spacing w:line="360" w:lineRule="auto"/>
        <w:outlineLvl w:val="0"/>
        <w:rPr>
          <w:b/>
          <w:sz w:val="52"/>
          <w:szCs w:val="52"/>
          <w:highlight w:val="none"/>
        </w:rPr>
      </w:pPr>
    </w:p>
    <w:p w14:paraId="2F447C0C">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E1B6CC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3</w:t>
      </w:r>
      <w:r>
        <w:rPr>
          <w:rFonts w:hint="eastAsia" w:ascii="宋体" w:hAnsi="宋体" w:cs="宋体"/>
          <w:b/>
          <w:sz w:val="30"/>
          <w:szCs w:val="30"/>
          <w:highlight w:val="none"/>
        </w:rPr>
        <w:t>月</w:t>
      </w:r>
    </w:p>
    <w:p w14:paraId="212A8CCF">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0B58890E">
      <w:pPr>
        <w:jc w:val="center"/>
        <w:rPr>
          <w:rFonts w:ascii="宋体" w:hAnsi="宋体"/>
          <w:b/>
          <w:sz w:val="10"/>
          <w:szCs w:val="10"/>
        </w:rPr>
      </w:pPr>
    </w:p>
    <w:p w14:paraId="7500161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eastAsiaTheme="minorEastAsia"/>
          <w:highlight w:val="none"/>
          <w:lang w:eastAsia="zh-CN"/>
        </w:rPr>
      </w:pPr>
      <w:r>
        <w:rPr>
          <w:rFonts w:hint="eastAsia" w:eastAsiaTheme="minorEastAsia"/>
          <w:highlight w:val="none"/>
          <w:lang w:eastAsia="zh-CN"/>
        </w:rPr>
        <w:t>河南省胸科医院便携式睡眠呼吸监测仪采购项目</w:t>
      </w:r>
    </w:p>
    <w:p w14:paraId="11716E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河南省胸科医院便携式睡眠呼吸监测仪采购项目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便携式睡眠呼吸监测仪</w:t>
      </w:r>
      <w:r>
        <w:rPr>
          <w:rFonts w:hint="eastAsia" w:asciiTheme="minorEastAsia" w:hAnsiTheme="minorEastAsia" w:eastAsiaTheme="minorEastAsia" w:cstheme="minorEastAsia"/>
          <w:color w:val="333333"/>
          <w:sz w:val="24"/>
          <w:szCs w:val="24"/>
          <w:lang w:val="en-US" w:eastAsia="zh-CN"/>
        </w:rPr>
        <w:t>2</w:t>
      </w:r>
      <w:r>
        <w:rPr>
          <w:rFonts w:hint="default" w:asciiTheme="minorEastAsia" w:hAnsiTheme="minorEastAsia" w:eastAsiaTheme="minorEastAsia" w:cstheme="minorEastAsia"/>
          <w:color w:val="333333"/>
          <w:sz w:val="24"/>
          <w:szCs w:val="24"/>
        </w:rPr>
        <w:t>台。</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万</w:t>
      </w:r>
      <w:r>
        <w:rPr>
          <w:rFonts w:hint="default" w:asciiTheme="minorEastAsia" w:hAnsiTheme="minorEastAsia" w:eastAsiaTheme="minorEastAsia" w:cstheme="minorEastAsia"/>
          <w:color w:val="333333"/>
          <w:sz w:val="24"/>
          <w:szCs w:val="24"/>
        </w:rPr>
        <w:t>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w:t>
      </w:r>
      <w:r>
        <w:rPr>
          <w:rFonts w:hint="eastAsia" w:asciiTheme="minorEastAsia" w:hAnsiTheme="minorEastAsia" w:eastAsiaTheme="minorEastAsia" w:cstheme="minorEastAsia"/>
          <w:color w:val="333333"/>
          <w:sz w:val="24"/>
          <w:szCs w:val="24"/>
          <w:highlight w:val="none"/>
        </w:rPr>
        <w:t>响应产品须具有医疗器械产品注册证或医疗器械产品备案凭证</w:t>
      </w:r>
      <w:r>
        <w:rPr>
          <w:rFonts w:hint="default" w:asciiTheme="minorEastAsia" w:hAnsiTheme="minorEastAsia" w:eastAsiaTheme="minorEastAsia" w:cstheme="minorEastAsia"/>
          <w:color w:val="333333"/>
          <w:sz w:val="24"/>
          <w:szCs w:val="24"/>
          <w:highlight w:val="none"/>
        </w:rPr>
        <w:t>；</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w:t>
      </w:r>
      <w:r>
        <w:rPr>
          <w:rFonts w:hint="eastAsia" w:asciiTheme="minorEastAsia" w:hAnsiTheme="minorEastAsia" w:eastAsiaTheme="minorEastAsia" w:cstheme="minorEastAsia"/>
          <w:color w:val="333333"/>
          <w:sz w:val="24"/>
          <w:szCs w:val="24"/>
          <w:highlight w:val="none"/>
        </w:rPr>
        <w:t>供应商如为生产厂家须具有相适应的生产资格（医疗器械生产许可证或医疗器械生产备案凭证）；如为代理商（经销商）须具有相应的经营资格（医疗器械经营许可证或医疗器械经营备案凭证）</w:t>
      </w:r>
      <w:r>
        <w:rPr>
          <w:rFonts w:hint="default" w:asciiTheme="minorEastAsia" w:hAnsiTheme="minorEastAsia" w:eastAsiaTheme="minorEastAsia" w:cstheme="minorEastAsia"/>
          <w:color w:val="333333"/>
          <w:sz w:val="24"/>
          <w:szCs w:val="24"/>
          <w:highlight w:val="none"/>
        </w:rPr>
        <w:t>；</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9</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11</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r>
        <w:rPr>
          <w:rFonts w:hint="default" w:asciiTheme="minorEastAsia" w:hAnsiTheme="minorEastAsia" w:eastAsiaTheme="minorEastAsia" w:cstheme="minorEastAsia"/>
          <w:color w:val="333333"/>
          <w:sz w:val="24"/>
          <w:szCs w:val="24"/>
        </w:rPr>
        <w:t>。</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01A7052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DE6C3BD">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8"/>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9"/>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2902"/>
      <w:bookmarkStart w:id="4" w:name="_Toc6661845"/>
    </w:p>
    <w:bookmarkEnd w:id="3"/>
    <w:bookmarkEnd w:id="4"/>
    <w:p w14:paraId="16A0636C">
      <w:pPr>
        <w:spacing w:line="360" w:lineRule="auto"/>
        <w:jc w:val="center"/>
        <w:rPr>
          <w:rFonts w:cs="宋体" w:asciiTheme="minorEastAsia" w:hAnsiTheme="minorEastAsia"/>
          <w:b/>
          <w:sz w:val="30"/>
          <w:szCs w:val="30"/>
          <w:lang w:bidi="ar"/>
        </w:rPr>
      </w:pPr>
    </w:p>
    <w:p w14:paraId="562352D9">
      <w:pPr>
        <w:numPr>
          <w:ilvl w:val="0"/>
          <w:numId w:val="2"/>
        </w:numPr>
        <w:spacing w:line="360" w:lineRule="auto"/>
        <w:ind w:firstLine="482" w:firstLineChars="200"/>
        <w:rPr>
          <w:rFonts w:hint="eastAsia" w:ascii="宋体" w:hAnsi="宋体" w:eastAsia="宋体"/>
          <w:b/>
          <w:bCs/>
          <w:sz w:val="24"/>
          <w:szCs w:val="24"/>
          <w:lang w:eastAsia="zh-CN"/>
        </w:rPr>
      </w:pPr>
      <w:r>
        <w:rPr>
          <w:rFonts w:hint="eastAsia" w:ascii="宋体" w:hAnsi="宋体" w:eastAsia="宋体"/>
          <w:b/>
          <w:bCs/>
          <w:sz w:val="24"/>
          <w:szCs w:val="24"/>
          <w:lang w:eastAsia="zh-CN"/>
        </w:rPr>
        <w:t>技术要求</w:t>
      </w:r>
    </w:p>
    <w:p w14:paraId="3C2DCBB9">
      <w:pPr>
        <w:pStyle w:val="69"/>
        <w:numPr>
          <w:ilvl w:val="0"/>
          <w:numId w:val="0"/>
        </w:numPr>
        <w:spacing w:line="360" w:lineRule="auto"/>
        <w:ind w:firstLine="480" w:firstLineChars="200"/>
        <w:rPr>
          <w:rFonts w:hint="default" w:ascii="宋体" w:hAnsi="宋体"/>
          <w:sz w:val="24"/>
          <w:lang w:val="en-US" w:eastAsia="zh-CN"/>
        </w:rPr>
      </w:pPr>
      <w:r>
        <w:rPr>
          <w:rFonts w:hint="eastAsia" w:ascii="宋体" w:hAnsi="宋体"/>
          <w:sz w:val="24"/>
          <w:lang w:val="en-US" w:eastAsia="zh-CN"/>
        </w:rPr>
        <w:t>1、数量：2台</w:t>
      </w:r>
    </w:p>
    <w:p w14:paraId="443A47BB">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2、监测参数：≥20导监测，含心电、呼吸气流、血氧、鼾声、体位、体动、胸腹运动等。</w:t>
      </w:r>
    </w:p>
    <w:p w14:paraId="60638F9D">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3、存储功能：内置≥16G TF 存储卡，屏幕可实时查看存储剩余容量。</w:t>
      </w:r>
    </w:p>
    <w:p w14:paraId="471DBC71">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4、供电系统：内置≥4000mAh可充电锂电池，屏幕电量显示。</w:t>
      </w:r>
    </w:p>
    <w:p w14:paraId="6291E429">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5、显示系统：≥3.0寸显示屏，实时显示各导联通道信号接收与动态波形；支持日期时间、监测时长显示。</w:t>
      </w:r>
    </w:p>
    <w:p w14:paraId="64FA16FB">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6、胸腹运动采集：采用整体围绕型电感体积描记法（RIP）+3D 陀螺仪双重采集；支持心肺耦合（CPC）、RIP、3D 陀螺仪三种技术同步采集胸腹运动。</w:t>
      </w:r>
    </w:p>
    <w:p w14:paraId="0C91038B">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7、结构设计：主机一体化，血氧、心电等传感器直连主机，无外接模块 / 组件。</w:t>
      </w:r>
    </w:p>
    <w:p w14:paraId="231111DB">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8、接口配置：标配金属鲁尔接头；主机搭载Type-C 四合一接口。</w:t>
      </w:r>
    </w:p>
    <w:p w14:paraId="167487F2">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9、呼吸机适配：支持任意品牌无创正压呼吸机压力滴定；可配压力滴定组件，实现同品牌呼吸机远程滴定与参数调节。</w:t>
      </w:r>
    </w:p>
    <w:p w14:paraId="6C2F67AB">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10、数据传输：内置蓝牙模块，支持无线数据实时传输。</w:t>
      </w:r>
    </w:p>
    <w:p w14:paraId="14CA3059">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11、鼾声监测：MIC 鼾声 + 压力式气流鼾声双监测，分析软件支持 MIC 鼾声语音回放。</w:t>
      </w:r>
    </w:p>
    <w:p w14:paraId="706124BB">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12、语音记录：支持语音记录，软件端同步回放鼾声录音。</w:t>
      </w:r>
    </w:p>
    <w:p w14:paraId="4E3E0848">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13、血压监测：连续无创血压分析脉搏传导时间（PTT）、动态血压（收缩压、舒张压、平均压），记录睡眠过程中血压变化趋势，并出具动态血压报告。</w:t>
      </w:r>
    </w:p>
    <w:p w14:paraId="3A9BAB1C">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14、心率分析：软件支持一键查看心率变异散点图，可出具心率变异分析报告。</w:t>
      </w:r>
    </w:p>
    <w:p w14:paraId="3B301F54">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15、分析软件：AI 智能分析，内置成人 / 儿童双模式，支持自动分析 + 手动修改；报告支持 PDF/Word/JPG 格式导出，全中文多模版可选并支持自定义编辑。</w:t>
      </w:r>
    </w:p>
    <w:p w14:paraId="358E5C24">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16、数据导出：支持 EDF 格式数据导出、Excel 事件统计表导出，适配临床统计与科研教学。</w:t>
      </w:r>
    </w:p>
    <w:p w14:paraId="45CAB2D7">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17、采样精度与频率</w:t>
      </w:r>
    </w:p>
    <w:p w14:paraId="7D22AEC2">
      <w:pPr>
        <w:spacing w:line="360" w:lineRule="auto"/>
        <w:ind w:firstLine="960" w:firstLineChars="400"/>
        <w:rPr>
          <w:rFonts w:hint="eastAsia" w:ascii="宋体" w:hAnsi="宋体"/>
          <w:sz w:val="24"/>
          <w:lang w:val="en-US" w:eastAsia="zh-CN"/>
        </w:rPr>
      </w:pPr>
      <w:r>
        <w:rPr>
          <w:rFonts w:hint="eastAsia" w:ascii="宋体" w:hAnsi="宋体"/>
          <w:sz w:val="24"/>
          <w:lang w:val="en-US" w:eastAsia="zh-CN"/>
        </w:rPr>
        <w:t>采样精度：≥24bit</w:t>
      </w:r>
    </w:p>
    <w:p w14:paraId="22790621">
      <w:pPr>
        <w:spacing w:line="360" w:lineRule="auto"/>
        <w:ind w:firstLine="960" w:firstLineChars="400"/>
        <w:rPr>
          <w:rFonts w:hint="eastAsia" w:ascii="宋体" w:hAnsi="宋体"/>
          <w:sz w:val="24"/>
          <w:lang w:val="en-US" w:eastAsia="zh-CN"/>
        </w:rPr>
      </w:pPr>
      <w:r>
        <w:rPr>
          <w:rFonts w:hint="eastAsia" w:ascii="宋体" w:hAnsi="宋体"/>
          <w:sz w:val="24"/>
          <w:lang w:val="en-US" w:eastAsia="zh-CN"/>
        </w:rPr>
        <w:t>最高采样频率：≥10KHz</w:t>
      </w:r>
    </w:p>
    <w:p w14:paraId="34E4ECC7">
      <w:pPr>
        <w:spacing w:line="360" w:lineRule="auto"/>
        <w:ind w:firstLine="960" w:firstLineChars="400"/>
        <w:rPr>
          <w:rFonts w:hint="eastAsia" w:ascii="宋体" w:hAnsi="宋体"/>
          <w:sz w:val="24"/>
          <w:lang w:val="en-US" w:eastAsia="zh-CN"/>
        </w:rPr>
      </w:pPr>
      <w:r>
        <w:rPr>
          <w:rFonts w:hint="eastAsia" w:ascii="宋体" w:hAnsi="宋体"/>
          <w:sz w:val="24"/>
          <w:lang w:val="en-US" w:eastAsia="zh-CN"/>
        </w:rPr>
        <w:t>生物电采样 / 存储频率：≥500Hz</w:t>
      </w:r>
    </w:p>
    <w:p w14:paraId="369B8076">
      <w:pPr>
        <w:spacing w:line="360" w:lineRule="auto"/>
        <w:ind w:firstLine="960" w:firstLineChars="400"/>
        <w:rPr>
          <w:rFonts w:hint="eastAsia" w:ascii="宋体" w:hAnsi="宋体"/>
          <w:sz w:val="24"/>
          <w:lang w:val="en-US" w:eastAsia="zh-CN"/>
        </w:rPr>
      </w:pPr>
      <w:r>
        <w:rPr>
          <w:rFonts w:hint="eastAsia" w:ascii="宋体" w:hAnsi="宋体"/>
          <w:sz w:val="24"/>
          <w:lang w:val="en-US" w:eastAsia="zh-CN"/>
        </w:rPr>
        <w:t>血氧饱和度采样频率：≥25Hz</w:t>
      </w:r>
    </w:p>
    <w:p w14:paraId="17927406">
      <w:pPr>
        <w:spacing w:line="360" w:lineRule="auto"/>
        <w:rPr>
          <w:rFonts w:hint="eastAsia" w:ascii="宋体" w:hAnsi="宋体" w:cs="宋体"/>
          <w:sz w:val="24"/>
        </w:rPr>
      </w:pPr>
      <w:r>
        <w:rPr>
          <w:rFonts w:hint="eastAsia" w:ascii="宋体" w:hAnsi="宋体"/>
          <w:b/>
          <w:bCs/>
          <w:sz w:val="24"/>
        </w:rPr>
        <w:t>二、商务要求</w:t>
      </w:r>
    </w:p>
    <w:p w14:paraId="3BBB7214">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1.特定资格要求：</w:t>
      </w:r>
    </w:p>
    <w:p w14:paraId="0A824E3A">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1.1 响应产品须具有医疗器械产品注册证或医疗器械产品备案凭证；</w:t>
      </w:r>
    </w:p>
    <w:p w14:paraId="6F050D1C">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1.2 供应商如为生产厂家须具有相适应的生产资格（医疗器械生产许可证或医疗器械生产备案凭证）；如为代理商（经销商）须具有相应的经营资格（医疗器械经营许可证或医疗器械经营备案凭证）。</w:t>
      </w:r>
    </w:p>
    <w:p w14:paraId="3BEE4831">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2.交货期：合同签订后</w:t>
      </w:r>
      <w:r>
        <w:rPr>
          <w:rFonts w:hint="eastAsia" w:ascii="宋体" w:hAnsi="宋体" w:cs="等线"/>
          <w:sz w:val="24"/>
          <w:lang w:val="en-US" w:eastAsia="zh-CN"/>
        </w:rPr>
        <w:t>30</w:t>
      </w:r>
      <w:r>
        <w:rPr>
          <w:rFonts w:hint="eastAsia" w:ascii="宋体" w:hAnsi="宋体" w:cs="等线"/>
          <w:sz w:val="24"/>
        </w:rPr>
        <w:t>日历天</w:t>
      </w:r>
    </w:p>
    <w:p w14:paraId="16C03843">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rPr>
        <w:t>3.是否接受进口产品：</w:t>
      </w:r>
      <w:r>
        <w:rPr>
          <w:rFonts w:hint="eastAsia" w:ascii="宋体" w:hAnsi="宋体" w:cs="等线"/>
          <w:sz w:val="24"/>
          <w:lang w:val="en-US" w:eastAsia="zh-CN"/>
        </w:rPr>
        <w:t>否</w:t>
      </w:r>
    </w:p>
    <w:p w14:paraId="22C28A5F">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4.质保期：≥</w:t>
      </w:r>
      <w:r>
        <w:rPr>
          <w:rFonts w:hint="eastAsia" w:ascii="宋体" w:hAnsi="宋体" w:cs="等线"/>
          <w:sz w:val="24"/>
          <w:lang w:val="en-US" w:eastAsia="zh-CN"/>
        </w:rPr>
        <w:t>3</w:t>
      </w:r>
      <w:r>
        <w:rPr>
          <w:rFonts w:hint="eastAsia" w:ascii="宋体" w:hAnsi="宋体" w:cs="等线"/>
          <w:sz w:val="24"/>
        </w:rPr>
        <w:t>年（供应商需明确具体年数）</w:t>
      </w:r>
    </w:p>
    <w:p w14:paraId="23ADEC49">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5.履约保证金：</w:t>
      </w:r>
    </w:p>
    <w:p w14:paraId="6C7F0FCB">
      <w:pPr>
        <w:pStyle w:val="69"/>
        <w:numPr>
          <w:ilvl w:val="0"/>
          <w:numId w:val="0"/>
        </w:numPr>
        <w:autoSpaceDE w:val="0"/>
        <w:autoSpaceDN w:val="0"/>
        <w:spacing w:line="360" w:lineRule="auto"/>
        <w:ind w:left="420" w:leftChars="0"/>
        <w:jc w:val="left"/>
        <w:rPr>
          <w:rFonts w:hint="default" w:ascii="宋体" w:hAnsi="宋体" w:cs="等线"/>
          <w:sz w:val="24"/>
          <w:lang w:val="en-US" w:eastAsia="zh-CN"/>
        </w:rPr>
      </w:pPr>
      <w:r>
        <w:rPr>
          <w:rFonts w:hint="eastAsia" w:ascii="宋体" w:hAnsi="宋体" w:cs="等线"/>
          <w:sz w:val="24"/>
          <w:lang w:val="en-US" w:eastAsia="zh-CN"/>
        </w:rPr>
        <w:t>5.1成交供应商</w:t>
      </w:r>
      <w:r>
        <w:rPr>
          <w:rFonts w:hint="eastAsia" w:ascii="宋体" w:hAnsi="宋体" w:cs="等线"/>
          <w:sz w:val="24"/>
        </w:rPr>
        <w:t>在</w:t>
      </w:r>
      <w:r>
        <w:rPr>
          <w:rFonts w:hint="eastAsia" w:ascii="宋体" w:hAnsi="宋体" w:cs="等线"/>
          <w:sz w:val="24"/>
          <w:lang w:val="en-US" w:eastAsia="zh-CN"/>
        </w:rPr>
        <w:t>结果公告</w:t>
      </w:r>
      <w:r>
        <w:rPr>
          <w:rFonts w:hint="eastAsia" w:ascii="宋体" w:hAnsi="宋体" w:cs="等线"/>
          <w:sz w:val="24"/>
        </w:rPr>
        <w:t>发出后向采购人提交履约保证金，履约保证金的金额为合同总价的</w:t>
      </w:r>
      <w:r>
        <w:rPr>
          <w:rFonts w:hint="default" w:ascii="宋体" w:hAnsi="宋体" w:cs="等线"/>
          <w:sz w:val="24"/>
        </w:rPr>
        <w:t>5%</w:t>
      </w:r>
    </w:p>
    <w:p w14:paraId="753AE1FC">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5.2履约保证金缴纳的形式：银行转账；</w:t>
      </w:r>
    </w:p>
    <w:p w14:paraId="2DF0537C">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履约保证金接收账户：河南省胸科医院</w:t>
      </w:r>
    </w:p>
    <w:p w14:paraId="2E9EF517">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履约保证金接收账号：</w:t>
      </w:r>
      <w:r>
        <w:rPr>
          <w:rFonts w:hint="default" w:ascii="宋体" w:hAnsi="宋体" w:cs="等线"/>
          <w:sz w:val="24"/>
          <w:lang w:val="en-US" w:eastAsia="zh-CN"/>
        </w:rPr>
        <w:t>7607 0157 4000 00953</w:t>
      </w:r>
    </w:p>
    <w:p w14:paraId="415D4EA3">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开户行：浦东发展银行郑州东明支行</w:t>
      </w:r>
    </w:p>
    <w:p w14:paraId="3C6F77C0">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bookmarkStart w:id="5" w:name="_Hlk39601241"/>
      <w:r>
        <w:rPr>
          <w:rFonts w:hint="eastAsia" w:ascii="宋体" w:hAnsi="宋体" w:cs="等线"/>
          <w:sz w:val="24"/>
          <w:lang w:val="en-US" w:eastAsia="zh-CN"/>
        </w:rPr>
        <w:t>履约保证金</w:t>
      </w:r>
      <w:r>
        <w:rPr>
          <w:rFonts w:hint="eastAsia" w:ascii="宋体" w:hAnsi="宋体" w:cs="等线"/>
          <w:sz w:val="24"/>
        </w:rPr>
        <w:t>于</w:t>
      </w:r>
      <w:r>
        <w:rPr>
          <w:rFonts w:hint="eastAsia" w:ascii="宋体" w:hAnsi="宋体" w:cs="等线"/>
          <w:sz w:val="24"/>
          <w:lang w:eastAsia="zh-CN"/>
        </w:rPr>
        <w:t>验收合格</w:t>
      </w:r>
      <w:r>
        <w:rPr>
          <w:rFonts w:hint="eastAsia" w:ascii="宋体" w:hAnsi="宋体" w:cs="等线"/>
          <w:sz w:val="24"/>
          <w:lang w:val="en-US" w:eastAsia="zh-CN"/>
        </w:rPr>
        <w:t>1年</w:t>
      </w:r>
      <w:r>
        <w:rPr>
          <w:rFonts w:hint="eastAsia" w:ascii="宋体" w:hAnsi="宋体" w:cs="等线"/>
          <w:sz w:val="24"/>
        </w:rPr>
        <w:t>后，</w:t>
      </w:r>
      <w:r>
        <w:rPr>
          <w:rFonts w:hint="eastAsia" w:ascii="宋体" w:hAnsi="宋体" w:cs="等线"/>
          <w:sz w:val="24"/>
          <w:lang w:val="en-US" w:eastAsia="zh-CN"/>
        </w:rPr>
        <w:t>依据响应文件，所承诺的优惠条件、售后服务计划、培训计划等执行到位后，按规定程序办理支付手续，一次性付清。</w:t>
      </w:r>
      <w:bookmarkEnd w:id="5"/>
    </w:p>
    <w:p w14:paraId="03D1C295">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lang w:val="en-US" w:eastAsia="zh-CN"/>
        </w:rPr>
        <w:t>6.</w:t>
      </w:r>
      <w:r>
        <w:rPr>
          <w:rFonts w:hint="eastAsia" w:ascii="宋体" w:hAnsi="宋体" w:cs="等线"/>
          <w:sz w:val="24"/>
        </w:rPr>
        <w:t>付款方式：</w:t>
      </w:r>
    </w:p>
    <w:p w14:paraId="31C6C67B">
      <w:pPr>
        <w:pStyle w:val="69"/>
        <w:numPr>
          <w:ilvl w:val="0"/>
          <w:numId w:val="0"/>
        </w:numPr>
        <w:autoSpaceDE w:val="0"/>
        <w:autoSpaceDN w:val="0"/>
        <w:spacing w:line="360" w:lineRule="auto"/>
        <w:ind w:left="420" w:leftChars="0"/>
        <w:jc w:val="left"/>
        <w:rPr>
          <w:rFonts w:hint="eastAsia" w:ascii="宋体" w:hAnsi="宋体" w:cs="等线"/>
          <w:sz w:val="24"/>
          <w:lang w:eastAsia="zh-CN"/>
        </w:rPr>
      </w:pPr>
      <w:r>
        <w:rPr>
          <w:rFonts w:hint="eastAsia" w:ascii="宋体" w:hAnsi="宋体" w:cs="等线"/>
          <w:sz w:val="24"/>
          <w:lang w:val="en-US" w:eastAsia="zh-CN"/>
        </w:rPr>
        <w:t>合同签订后，设备按期交付，使用运行正常，验收合格之后，采购人向成交供应商支付合同总价的</w:t>
      </w:r>
      <w:r>
        <w:rPr>
          <w:rFonts w:hint="default" w:ascii="宋体" w:hAnsi="宋体" w:cs="等线"/>
          <w:sz w:val="24"/>
          <w:lang w:val="en-US" w:eastAsia="zh-CN"/>
        </w:rPr>
        <w:t>100%</w:t>
      </w:r>
      <w:r>
        <w:rPr>
          <w:rFonts w:hint="eastAsia" w:ascii="宋体" w:hAnsi="宋体" w:cs="等线"/>
          <w:sz w:val="24"/>
          <w:lang w:val="en-US" w:eastAsia="zh-CN"/>
        </w:rPr>
        <w:t>货款。成交人在接收货款前，应向采购人开具正规发票。</w:t>
      </w:r>
    </w:p>
    <w:p w14:paraId="1FC7E8C4">
      <w:pPr>
        <w:pStyle w:val="2"/>
        <w:spacing w:before="0" w:after="0"/>
        <w:jc w:val="center"/>
        <w:rPr>
          <w:rFonts w:hint="eastAsia" w:asciiTheme="minorEastAsia" w:hAnsiTheme="minorEastAsia"/>
          <w:color w:val="auto"/>
          <w:sz w:val="32"/>
          <w:highlight w:val="none"/>
        </w:rPr>
      </w:pPr>
    </w:p>
    <w:p w14:paraId="05F2E135">
      <w:pPr>
        <w:rPr>
          <w:rFonts w:hint="eastAsia" w:asciiTheme="minorEastAsia" w:hAnsiTheme="minorEastAsia"/>
          <w:color w:val="auto"/>
          <w:sz w:val="32"/>
          <w:highlight w:val="none"/>
        </w:rPr>
      </w:pPr>
      <w:r>
        <w:rPr>
          <w:rFonts w:hint="eastAsia" w:asciiTheme="minorEastAsia" w:hAnsiTheme="minorEastAsia"/>
          <w:color w:val="auto"/>
          <w:sz w:val="32"/>
          <w:highlight w:val="none"/>
        </w:rPr>
        <w:br w:type="page"/>
      </w:r>
    </w:p>
    <w:p w14:paraId="165E4159">
      <w:pPr>
        <w:rPr>
          <w:rFonts w:hint="eastAsia"/>
        </w:rPr>
      </w:pPr>
    </w:p>
    <w:p w14:paraId="6BFC02C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48CF11F">
      <w:pPr>
        <w:jc w:val="center"/>
        <w:rPr>
          <w:rFonts w:hint="eastAsia" w:asciiTheme="minorEastAsia" w:hAnsiTheme="minorEastAsia"/>
          <w:b/>
          <w:color w:val="auto"/>
          <w:sz w:val="28"/>
          <w:highlight w:val="none"/>
        </w:rPr>
      </w:pP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9"/>
        <w:rPr>
          <w:rFonts w:hint="eastAsia"/>
        </w:rPr>
      </w:pPr>
    </w:p>
    <w:p w14:paraId="14E4444C">
      <w:pPr>
        <w:rPr>
          <w:rFonts w:hint="eastAsia"/>
        </w:rPr>
      </w:pPr>
    </w:p>
    <w:p w14:paraId="1453BE5A">
      <w:pPr>
        <w:pStyle w:val="29"/>
        <w:rPr>
          <w:rFonts w:hint="eastAsia"/>
        </w:rPr>
      </w:pPr>
    </w:p>
    <w:p w14:paraId="7097BEF8">
      <w:pPr>
        <w:rPr>
          <w:rFonts w:hint="eastAsia"/>
        </w:rPr>
      </w:pPr>
    </w:p>
    <w:p w14:paraId="7023882D">
      <w:pPr>
        <w:pStyle w:val="29"/>
        <w:rPr>
          <w:rFonts w:hint="eastAsia"/>
        </w:rPr>
      </w:pPr>
    </w:p>
    <w:p w14:paraId="03D7AAC6">
      <w:pPr>
        <w:rPr>
          <w:rFonts w:hint="eastAsia"/>
        </w:rPr>
      </w:pPr>
    </w:p>
    <w:p w14:paraId="085CBAE9">
      <w:pPr>
        <w:pStyle w:val="29"/>
        <w:rPr>
          <w:rFonts w:hint="eastAsia"/>
        </w:rPr>
      </w:pPr>
    </w:p>
    <w:p w14:paraId="7DCC49F4">
      <w:pPr>
        <w:rPr>
          <w:rFonts w:hint="eastAsia"/>
        </w:rPr>
      </w:pPr>
    </w:p>
    <w:p w14:paraId="2839BF2D">
      <w:pPr>
        <w:pStyle w:val="29"/>
        <w:rPr>
          <w:rFonts w:hint="eastAsia"/>
        </w:rPr>
      </w:pPr>
    </w:p>
    <w:p w14:paraId="78904DBC">
      <w:pPr>
        <w:pStyle w:val="23"/>
        <w:spacing w:before="0" w:after="0"/>
        <w:rPr>
          <w:color w:val="auto"/>
          <w:sz w:val="28"/>
          <w:highlight w:val="none"/>
        </w:rPr>
      </w:pPr>
      <w:bookmarkStart w:id="6" w:name="_Toc24908"/>
      <w:r>
        <w:rPr>
          <w:rFonts w:hint="eastAsia"/>
          <w:color w:val="auto"/>
          <w:sz w:val="28"/>
          <w:highlight w:val="none"/>
        </w:rPr>
        <w:t>第一部分资格证明文件</w:t>
      </w:r>
      <w:bookmarkEnd w:id="6"/>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4"/>
        <w:spacing w:before="0" w:after="0"/>
        <w:jc w:val="center"/>
        <w:rPr>
          <w:rFonts w:hint="eastAsia"/>
          <w:color w:val="auto"/>
          <w:sz w:val="28"/>
          <w:szCs w:val="36"/>
          <w:highlight w:val="none"/>
        </w:rPr>
      </w:pPr>
      <w:bookmarkStart w:id="7" w:name="_Toc2479"/>
      <w:bookmarkStart w:id="8" w:name="_Toc902"/>
    </w:p>
    <w:p w14:paraId="0B5438A5">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7"/>
      <w:bookmarkEnd w:id="8"/>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9"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9"/>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3EDB7FA0">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44E1A2E3">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77D8DE31">
      <w:pPr>
        <w:pStyle w:val="11"/>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11"/>
        <w:rPr>
          <w:rFonts w:ascii="宋体"/>
          <w:sz w:val="24"/>
        </w:rPr>
      </w:pPr>
      <w:r>
        <w:rPr>
          <w:rFonts w:ascii="宋体"/>
          <w:sz w:val="24"/>
        </w:rPr>
        <w:br w:type="page"/>
      </w:r>
    </w:p>
    <w:p w14:paraId="1F9ABE30">
      <w:pPr>
        <w:jc w:val="center"/>
        <w:rPr>
          <w:rFonts w:ascii="宋体"/>
          <w:color w:val="auto"/>
          <w:highlight w:val="none"/>
        </w:rPr>
      </w:pPr>
    </w:p>
    <w:p w14:paraId="390290FD">
      <w:pPr>
        <w:pStyle w:val="4"/>
        <w:spacing w:before="0" w:after="0"/>
        <w:jc w:val="center"/>
        <w:rPr>
          <w:rFonts w:hint="eastAsia"/>
          <w:color w:val="auto"/>
          <w:sz w:val="28"/>
          <w:szCs w:val="36"/>
          <w:highlight w:val="none"/>
        </w:rPr>
      </w:pPr>
      <w:bookmarkStart w:id="10" w:name="_资格证明文件"/>
      <w:bookmarkEnd w:id="10"/>
      <w:bookmarkStart w:id="11" w:name="_Toc31029"/>
      <w:bookmarkStart w:id="12" w:name="_Toc10534"/>
    </w:p>
    <w:p w14:paraId="64798207">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1"/>
      <w:bookmarkEnd w:id="12"/>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4"/>
        <w:spacing w:before="0" w:after="0"/>
        <w:jc w:val="center"/>
        <w:rPr>
          <w:rFonts w:hint="eastAsia"/>
          <w:color w:val="auto"/>
          <w:sz w:val="28"/>
          <w:szCs w:val="28"/>
          <w:highlight w:val="none"/>
        </w:rPr>
      </w:pPr>
      <w:bookmarkStart w:id="13" w:name="_Toc4559"/>
      <w:bookmarkStart w:id="14" w:name="_Toc11890"/>
      <w:bookmarkStart w:id="15" w:name="_Toc26111"/>
    </w:p>
    <w:p w14:paraId="08B8C196">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3"/>
      <w:bookmarkEnd w:id="14"/>
      <w:bookmarkEnd w:id="15"/>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69"/>
        <w:numPr>
          <w:ilvl w:val="0"/>
          <w:numId w:val="3"/>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2024或2025年度</w:t>
      </w:r>
      <w:bookmarkStart w:id="68" w:name="_GoBack"/>
      <w:bookmarkEnd w:id="68"/>
      <w:r>
        <w:rPr>
          <w:rFonts w:hint="eastAsia" w:ascii="宋体" w:hAnsi="宋体"/>
          <w:color w:val="auto"/>
          <w:sz w:val="24"/>
        </w:rPr>
        <w:t>经会计师事务所或者审计机构审计的财务报告</w:t>
      </w:r>
      <w:r>
        <w:rPr>
          <w:rFonts w:hint="eastAsia" w:ascii="宋体" w:hAnsi="宋体"/>
          <w:color w:val="auto"/>
          <w:sz w:val="24"/>
          <w:lang w:eastAsia="zh-CN"/>
        </w:rPr>
        <w:t>，</w:t>
      </w:r>
      <w:r>
        <w:rPr>
          <w:rFonts w:hint="eastAsia" w:ascii="宋体" w:hAnsi="宋体"/>
          <w:color w:val="auto"/>
          <w:sz w:val="24"/>
          <w:lang w:val="en-US" w:eastAsia="zh-CN"/>
        </w:rPr>
        <w:t>或基本开户银行出具的有效资信证明</w:t>
      </w:r>
      <w:r>
        <w:rPr>
          <w:rFonts w:hint="eastAsia" w:ascii="宋体" w:hAnsi="宋体"/>
          <w:color w:val="auto"/>
          <w:sz w:val="24"/>
        </w:rPr>
        <w:t xml:space="preserve">； </w:t>
      </w:r>
    </w:p>
    <w:p w14:paraId="6682F7B5">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4"/>
        <w:spacing w:before="0" w:after="0"/>
        <w:jc w:val="center"/>
        <w:rPr>
          <w:rFonts w:hint="eastAsia"/>
          <w:color w:val="auto"/>
          <w:sz w:val="28"/>
          <w:szCs w:val="28"/>
          <w:highlight w:val="none"/>
        </w:rPr>
      </w:pPr>
      <w:bookmarkStart w:id="16" w:name="_Toc24403"/>
      <w:bookmarkStart w:id="17" w:name="_Toc569"/>
      <w:bookmarkStart w:id="18" w:name="_Toc19319"/>
    </w:p>
    <w:p w14:paraId="098C34D6">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6"/>
      <w:bookmarkEnd w:id="17"/>
      <w:bookmarkEnd w:id="18"/>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9"/>
      </w:pPr>
    </w:p>
    <w:p w14:paraId="1E4F0F40"/>
    <w:p w14:paraId="2BD205D8">
      <w:pPr>
        <w:pStyle w:val="29"/>
      </w:pPr>
    </w:p>
    <w:p w14:paraId="7BB3CC0B"/>
    <w:p w14:paraId="17EB78F8">
      <w:pPr>
        <w:pStyle w:val="29"/>
      </w:pPr>
    </w:p>
    <w:p w14:paraId="3E66E731">
      <w:pPr>
        <w:spacing w:line="360" w:lineRule="auto"/>
        <w:rPr>
          <w:rFonts w:hint="eastAsia" w:asciiTheme="minorEastAsia" w:hAnsiTheme="minorEastAsia"/>
          <w:color w:val="auto"/>
          <w:sz w:val="24"/>
          <w:highlight w:val="red"/>
          <w:lang w:eastAsia="zh-CN"/>
        </w:rPr>
      </w:pPr>
    </w:p>
    <w:p w14:paraId="248AB68B">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59D01712">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39D4ADF0">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19" w:name="_Toc10542"/>
      <w:bookmarkStart w:id="20" w:name="_Toc1972"/>
    </w:p>
    <w:p w14:paraId="00D5E89F">
      <w:pPr>
        <w:pStyle w:val="4"/>
        <w:spacing w:before="0" w:after="0"/>
        <w:jc w:val="center"/>
        <w:rPr>
          <w:color w:val="auto"/>
          <w:sz w:val="28"/>
          <w:szCs w:val="28"/>
          <w:highlight w:val="none"/>
        </w:rPr>
      </w:pPr>
      <w:bookmarkStart w:id="21" w:name="_Toc32290"/>
      <w:r>
        <w:rPr>
          <w:rFonts w:hint="eastAsia"/>
          <w:color w:val="auto"/>
          <w:sz w:val="28"/>
          <w:szCs w:val="28"/>
          <w:highlight w:val="none"/>
        </w:rPr>
        <w:t>五、有依法缴纳税收和社会保障资金的良好记录</w:t>
      </w:r>
      <w:bookmarkEnd w:id="19"/>
      <w:bookmarkEnd w:id="20"/>
      <w:bookmarkEnd w:id="21"/>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4"/>
        <w:spacing w:before="0" w:after="0"/>
        <w:jc w:val="center"/>
        <w:rPr>
          <w:rFonts w:hint="eastAsia"/>
          <w:color w:val="auto"/>
          <w:sz w:val="28"/>
          <w:highlight w:val="none"/>
        </w:rPr>
      </w:pPr>
      <w:bookmarkStart w:id="22" w:name="_Toc31728"/>
      <w:bookmarkStart w:id="23" w:name="_Toc32668"/>
      <w:bookmarkStart w:id="24" w:name="_Toc8953"/>
    </w:p>
    <w:p w14:paraId="7E64E1DE">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2"/>
      <w:bookmarkEnd w:id="23"/>
      <w:bookmarkEnd w:id="24"/>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9"/>
      </w:pPr>
    </w:p>
    <w:p w14:paraId="4F1F537F"/>
    <w:p w14:paraId="2E4DF39E">
      <w:pPr>
        <w:pStyle w:val="29"/>
      </w:pPr>
    </w:p>
    <w:p w14:paraId="6B2152B1"/>
    <w:p w14:paraId="77E73991">
      <w:pPr>
        <w:pStyle w:val="29"/>
      </w:pPr>
    </w:p>
    <w:p w14:paraId="1C29FFE0"/>
    <w:p w14:paraId="74E18C84">
      <w:pPr>
        <w:pStyle w:val="29"/>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4194F66F"/>
    <w:p w14:paraId="6DFFF9F1">
      <w:pPr>
        <w:widowControl/>
        <w:jc w:val="left"/>
        <w:rPr>
          <w:rFonts w:asciiTheme="minorEastAsia" w:hAnsiTheme="minorEastAsia"/>
          <w:color w:val="auto"/>
          <w:highlight w:val="none"/>
        </w:rPr>
      </w:pPr>
    </w:p>
    <w:p w14:paraId="37FEA536">
      <w:pPr>
        <w:pStyle w:val="4"/>
        <w:numPr>
          <w:ilvl w:val="0"/>
          <w:numId w:val="4"/>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5" w:name="_Toc1551"/>
      <w:bookmarkStart w:id="26" w:name="_Toc6843"/>
      <w:bookmarkStart w:id="27" w:name="_Toc2748"/>
      <w:r>
        <w:rPr>
          <w:rFonts w:hint="eastAsia" w:ascii="宋体" w:hAnsi="宋体" w:eastAsia="宋体" w:cs="宋体"/>
          <w:color w:val="auto"/>
          <w:kern w:val="0"/>
          <w:sz w:val="28"/>
          <w:szCs w:val="28"/>
          <w:highlight w:val="none"/>
          <w:lang w:val="en-US" w:eastAsia="zh-CN"/>
        </w:rPr>
        <w:t>产品资格</w:t>
      </w:r>
      <w:bookmarkEnd w:id="25"/>
      <w:bookmarkEnd w:id="26"/>
    </w:p>
    <w:p w14:paraId="660AE8C9">
      <w:pPr>
        <w:numPr>
          <w:ilvl w:val="0"/>
          <w:numId w:val="0"/>
        </w:numPr>
        <w:jc w:val="both"/>
        <w:rPr>
          <w:rFonts w:hint="eastAsia" w:cstheme="minorBidi"/>
          <w:b/>
          <w:bCs/>
          <w:color w:val="auto"/>
          <w:kern w:val="2"/>
          <w:sz w:val="24"/>
          <w:szCs w:val="32"/>
          <w:highlight w:val="none"/>
          <w:lang w:val="en-US" w:eastAsia="zh-CN" w:bidi="ar-SA"/>
        </w:rPr>
      </w:pPr>
    </w:p>
    <w:p w14:paraId="37729870">
      <w:pPr>
        <w:numPr>
          <w:ilvl w:val="0"/>
          <w:numId w:val="0"/>
        </w:numPr>
        <w:jc w:val="both"/>
        <w:rPr>
          <w:rFonts w:hint="eastAsia" w:cstheme="minorBidi"/>
          <w:b/>
          <w:bCs/>
          <w:color w:val="auto"/>
          <w:kern w:val="2"/>
          <w:sz w:val="24"/>
          <w:szCs w:val="32"/>
          <w:highlight w:val="none"/>
          <w:lang w:val="en-US" w:eastAsia="zh-CN" w:bidi="ar-SA"/>
        </w:rPr>
      </w:pPr>
    </w:p>
    <w:p w14:paraId="32E417FC">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1F07CA43">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4405053A">
      <w:pPr>
        <w:pStyle w:val="3"/>
        <w:rPr>
          <w:rFonts w:hint="eastAsia"/>
        </w:rPr>
      </w:pPr>
    </w:p>
    <w:p w14:paraId="7490276C">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7"/>
    <w:p w14:paraId="5E0F17FF">
      <w:pPr>
        <w:pStyle w:val="4"/>
        <w:spacing w:before="0" w:after="0"/>
        <w:jc w:val="center"/>
        <w:rPr>
          <w:rFonts w:hint="default"/>
          <w:color w:val="auto"/>
          <w:sz w:val="28"/>
          <w:szCs w:val="36"/>
          <w:highlight w:val="none"/>
          <w:lang w:val="en-US" w:eastAsia="zh-CN"/>
        </w:rPr>
      </w:pPr>
      <w:bookmarkStart w:id="28" w:name="_Toc28259"/>
      <w:bookmarkStart w:id="29" w:name="_Toc24684"/>
      <w:bookmarkStart w:id="30"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8"/>
      <w:bookmarkEnd w:id="29"/>
    </w:p>
    <w:p w14:paraId="12943517">
      <w:pPr>
        <w:rPr>
          <w:rFonts w:hint="eastAsia" w:cstheme="minorBidi"/>
          <w:b w:val="0"/>
          <w:bCs w:val="0"/>
          <w:color w:val="auto"/>
          <w:kern w:val="2"/>
          <w:sz w:val="24"/>
          <w:szCs w:val="32"/>
          <w:highlight w:val="none"/>
          <w:lang w:val="en-US" w:eastAsia="zh-CN" w:bidi="ar-SA"/>
        </w:rPr>
      </w:pPr>
    </w:p>
    <w:p w14:paraId="2D830EF4">
      <w:pPr>
        <w:rPr>
          <w:rFonts w:hint="eastAsia" w:cstheme="minorBidi"/>
          <w:b w:val="0"/>
          <w:bCs w:val="0"/>
          <w:color w:val="auto"/>
          <w:kern w:val="2"/>
          <w:sz w:val="24"/>
          <w:szCs w:val="32"/>
          <w:highlight w:val="none"/>
          <w:lang w:val="en-US" w:eastAsia="zh-CN" w:bidi="ar-SA"/>
        </w:rPr>
      </w:pPr>
    </w:p>
    <w:p w14:paraId="6290A672">
      <w:pPr>
        <w:rPr>
          <w:rFonts w:hint="eastAsia" w:cstheme="minorBidi"/>
          <w:b w:val="0"/>
          <w:bCs w:val="0"/>
          <w:color w:val="auto"/>
          <w:kern w:val="2"/>
          <w:sz w:val="24"/>
          <w:szCs w:val="32"/>
          <w:highlight w:val="none"/>
          <w:lang w:val="en-US" w:eastAsia="zh-CN" w:bidi="ar-SA"/>
        </w:rPr>
      </w:pPr>
    </w:p>
    <w:p w14:paraId="485B70F2">
      <w:pPr>
        <w:rPr>
          <w:rFonts w:hint="eastAsia" w:cstheme="minorBidi"/>
          <w:b w:val="0"/>
          <w:bCs w:val="0"/>
          <w:color w:val="auto"/>
          <w:kern w:val="2"/>
          <w:sz w:val="24"/>
          <w:szCs w:val="32"/>
          <w:highlight w:val="none"/>
          <w:lang w:val="en-US" w:eastAsia="zh-CN" w:bidi="ar-SA"/>
        </w:rPr>
      </w:pPr>
    </w:p>
    <w:p w14:paraId="49E0B7C4">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0537CEAC">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23DA8FF5">
      <w:pPr>
        <w:pStyle w:val="3"/>
        <w:rPr>
          <w:rFonts w:hint="eastAsia"/>
          <w:highlight w:val="cyan"/>
          <w:lang w:val="en-US" w:eastAsia="zh-CN"/>
        </w:rPr>
      </w:pPr>
    </w:p>
    <w:p w14:paraId="5C144EBB">
      <w:pPr>
        <w:pStyle w:val="4"/>
        <w:spacing w:before="0" w:after="0"/>
        <w:jc w:val="center"/>
        <w:rPr>
          <w:rFonts w:hint="eastAsia"/>
          <w:color w:val="auto"/>
          <w:sz w:val="24"/>
          <w:highlight w:val="none"/>
        </w:rPr>
      </w:pPr>
      <w:r>
        <w:rPr>
          <w:rFonts w:hint="eastAsia"/>
          <w:color w:val="auto"/>
          <w:sz w:val="24"/>
          <w:highlight w:val="none"/>
        </w:rPr>
        <w:br w:type="page"/>
      </w:r>
      <w:bookmarkEnd w:id="30"/>
      <w:bookmarkStart w:id="31" w:name="_Toc28112"/>
      <w:bookmarkStart w:id="32" w:name="_Toc11219"/>
      <w:bookmarkStart w:id="33" w:name="_Toc4657"/>
    </w:p>
    <w:p w14:paraId="64049525">
      <w:pPr>
        <w:pStyle w:val="4"/>
        <w:spacing w:before="0" w:after="0"/>
        <w:jc w:val="center"/>
        <w:rPr>
          <w:rFonts w:hint="eastAsia"/>
          <w:color w:val="auto"/>
          <w:sz w:val="24"/>
          <w:highlight w:val="none"/>
        </w:rPr>
      </w:pPr>
    </w:p>
    <w:p w14:paraId="052E7340">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1"/>
      <w:bookmarkEnd w:id="32"/>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33"/>
    <w:p w14:paraId="1A578696">
      <w:pPr>
        <w:bidi w:val="0"/>
        <w:rPr>
          <w:rFonts w:hint="eastAsia"/>
          <w:lang w:eastAsia="zh-CN"/>
        </w:rPr>
      </w:pPr>
      <w:bookmarkStart w:id="34"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5"/>
        <w:rPr>
          <w:rFonts w:hint="eastAsia"/>
          <w:lang w:eastAsia="zh-CN"/>
        </w:rPr>
      </w:pPr>
    </w:p>
    <w:p w14:paraId="58CCCDC8">
      <w:pPr>
        <w:pStyle w:val="4"/>
        <w:spacing w:before="0" w:after="0"/>
        <w:jc w:val="center"/>
        <w:rPr>
          <w:rFonts w:hint="eastAsia"/>
          <w:color w:val="auto"/>
          <w:sz w:val="28"/>
          <w:szCs w:val="36"/>
          <w:highlight w:val="none"/>
        </w:rPr>
      </w:pPr>
      <w:bookmarkStart w:id="35"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4"/>
      <w:bookmarkEnd w:id="35"/>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9"/>
        <w:rPr>
          <w:sz w:val="24"/>
          <w:szCs w:val="24"/>
        </w:rPr>
      </w:pPr>
    </w:p>
    <w:p w14:paraId="6F19485A">
      <w:pPr>
        <w:rPr>
          <w:sz w:val="24"/>
          <w:szCs w:val="24"/>
        </w:rPr>
      </w:pPr>
    </w:p>
    <w:p w14:paraId="45A2E607">
      <w:pPr>
        <w:pStyle w:val="29"/>
        <w:rPr>
          <w:sz w:val="24"/>
          <w:szCs w:val="24"/>
        </w:rPr>
      </w:pPr>
    </w:p>
    <w:p w14:paraId="09B36DF3">
      <w:pPr>
        <w:rPr>
          <w:sz w:val="24"/>
          <w:szCs w:val="24"/>
        </w:rPr>
      </w:pPr>
    </w:p>
    <w:p w14:paraId="27C53FDD">
      <w:pPr>
        <w:pStyle w:val="29"/>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3"/>
        <w:rPr>
          <w:color w:val="auto"/>
          <w:sz w:val="28"/>
          <w:highlight w:val="none"/>
        </w:rPr>
      </w:pPr>
      <w:bookmarkStart w:id="36" w:name="_Toc29119"/>
      <w:r>
        <w:rPr>
          <w:rFonts w:hint="eastAsia"/>
          <w:color w:val="auto"/>
          <w:sz w:val="28"/>
          <w:highlight w:val="none"/>
        </w:rPr>
        <w:t>第二部分商务、技术文件</w:t>
      </w:r>
      <w:bookmarkEnd w:id="36"/>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4"/>
        <w:spacing w:before="0" w:after="0"/>
        <w:jc w:val="center"/>
        <w:rPr>
          <w:rFonts w:hint="eastAsia" w:eastAsiaTheme="minorEastAsia"/>
          <w:color w:val="auto"/>
          <w:sz w:val="28"/>
          <w:highlight w:val="magenta"/>
          <w:lang w:eastAsia="zh-CN"/>
        </w:rPr>
      </w:pPr>
      <w:bookmarkStart w:id="37"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7"/>
      <w:r>
        <w:rPr>
          <w:rFonts w:hint="eastAsia"/>
          <w:color w:val="auto"/>
          <w:sz w:val="28"/>
          <w:highlight w:val="magenta"/>
          <w:lang w:eastAsia="zh-CN"/>
        </w:rPr>
        <w:t>一览表</w:t>
      </w:r>
    </w:p>
    <w:p w14:paraId="7EB9EAF5">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highlight w:val="magenta"/>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sz w:val="24"/>
                <w:szCs w:val="24"/>
              </w:rPr>
            </w:pPr>
            <w:r>
              <w:rPr>
                <w:rFonts w:hint="eastAsia"/>
                <w:sz w:val="24"/>
                <w:szCs w:val="24"/>
              </w:rPr>
              <w:t>交货期</w:t>
            </w:r>
          </w:p>
        </w:tc>
        <w:tc>
          <w:tcPr>
            <w:tcW w:w="6780" w:type="dxa"/>
            <w:vAlign w:val="center"/>
          </w:tcPr>
          <w:p w14:paraId="32FF4D8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sz w:val="24"/>
                <w:szCs w:val="24"/>
                <w:highlight w:val="red"/>
                <w:lang w:eastAsia="zh-CN"/>
              </w:rPr>
            </w:pPr>
            <w:r>
              <w:rPr>
                <w:rFonts w:hint="eastAsia"/>
                <w:sz w:val="24"/>
                <w:szCs w:val="24"/>
                <w:highlight w:val="cyan"/>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1769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37729931">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00CA6D3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9"/>
            </w:pPr>
          </w:p>
        </w:tc>
      </w:tr>
    </w:tbl>
    <w:p w14:paraId="0E022613">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6515145F">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EAC87F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3"/>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9"/>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38" w:name="_Toc320878673"/>
      <w:bookmarkStart w:id="39" w:name="_Toc349642274"/>
      <w:bookmarkStart w:id="40" w:name="_Toc304219290"/>
      <w:bookmarkStart w:id="41" w:name="_Toc337554757"/>
      <w:bookmarkStart w:id="42" w:name="_Toc33747588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8"/>
      <w:bookmarkEnd w:id="39"/>
      <w:bookmarkEnd w:id="40"/>
      <w:bookmarkEnd w:id="41"/>
      <w:bookmarkEnd w:id="42"/>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9"/>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9"/>
        <w:rPr>
          <w:rFonts w:hint="eastAsia"/>
        </w:rPr>
      </w:pPr>
    </w:p>
    <w:p w14:paraId="470DF6A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4"/>
        <w:spacing w:before="0" w:after="0"/>
        <w:jc w:val="center"/>
        <w:rPr>
          <w:color w:val="auto"/>
          <w:sz w:val="28"/>
          <w:highlight w:val="none"/>
        </w:rPr>
      </w:pPr>
      <w:bookmarkStart w:id="43" w:name="_Toc21266"/>
      <w:bookmarkStart w:id="44"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3"/>
      <w:bookmarkEnd w:id="44"/>
    </w:p>
    <w:p w14:paraId="5E5490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11"/>
        <w:jc w:val="center"/>
        <w:outlineLvl w:val="1"/>
        <w:rPr>
          <w:b/>
          <w:color w:val="auto"/>
          <w:sz w:val="32"/>
          <w:szCs w:val="32"/>
        </w:rPr>
      </w:pPr>
    </w:p>
    <w:p w14:paraId="176C7642">
      <w:pPr>
        <w:pStyle w:val="11"/>
        <w:jc w:val="center"/>
        <w:outlineLvl w:val="1"/>
        <w:rPr>
          <w:b/>
          <w:color w:val="auto"/>
          <w:sz w:val="32"/>
          <w:szCs w:val="32"/>
        </w:rPr>
      </w:pPr>
    </w:p>
    <w:p w14:paraId="42832394">
      <w:pPr>
        <w:pStyle w:val="11"/>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9"/>
        <w:rPr>
          <w:rFonts w:hint="eastAsia"/>
          <w:lang w:val="en-US" w:eastAsia="zh-CN"/>
        </w:rPr>
      </w:pPr>
    </w:p>
    <w:p w14:paraId="7DF119CC">
      <w:pPr>
        <w:rPr>
          <w:rFonts w:hint="eastAsia"/>
          <w:lang w:val="en-US" w:eastAsia="zh-CN"/>
        </w:rPr>
      </w:pPr>
    </w:p>
    <w:p w14:paraId="447AAD42">
      <w:pPr>
        <w:pStyle w:val="29"/>
        <w:rPr>
          <w:rFonts w:hint="eastAsia"/>
          <w:lang w:val="en-US" w:eastAsia="zh-CN"/>
        </w:rPr>
      </w:pPr>
    </w:p>
    <w:p w14:paraId="7F44342E">
      <w:pPr>
        <w:rPr>
          <w:rFonts w:hint="eastAsia"/>
          <w:lang w:val="en-US" w:eastAsia="zh-CN"/>
        </w:rPr>
      </w:pPr>
    </w:p>
    <w:p w14:paraId="2F8A269B">
      <w:pPr>
        <w:pStyle w:val="29"/>
        <w:rPr>
          <w:rFonts w:hint="eastAsia"/>
          <w:lang w:val="en-US" w:eastAsia="zh-CN"/>
        </w:rPr>
      </w:pPr>
    </w:p>
    <w:p w14:paraId="491D9E00">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9"/>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8017DE9">
      <w:pPr>
        <w:rPr>
          <w:rFonts w:hint="eastAsia"/>
        </w:rPr>
      </w:pPr>
    </w:p>
    <w:p w14:paraId="5CB04AD7">
      <w:pPr>
        <w:pStyle w:val="29"/>
        <w:rPr>
          <w:rFonts w:hint="eastAsia"/>
        </w:rPr>
      </w:pPr>
    </w:p>
    <w:p w14:paraId="14AAE2E8">
      <w:pPr>
        <w:rPr>
          <w:rFonts w:hint="eastAsia"/>
        </w:rPr>
      </w:pPr>
    </w:p>
    <w:p w14:paraId="29A8B692">
      <w:pPr>
        <w:pStyle w:val="29"/>
        <w:rPr>
          <w:rFonts w:hint="eastAsia"/>
        </w:rPr>
      </w:pPr>
    </w:p>
    <w:p w14:paraId="0A53BB6D">
      <w:pPr>
        <w:rPr>
          <w:rFonts w:hint="eastAsia"/>
        </w:rPr>
      </w:pPr>
    </w:p>
    <w:p w14:paraId="0A052FA9">
      <w:pPr>
        <w:pStyle w:val="29"/>
        <w:rPr>
          <w:rFonts w:hint="eastAsia"/>
        </w:rPr>
      </w:pPr>
    </w:p>
    <w:p w14:paraId="5E9EF4C5">
      <w:pPr>
        <w:rPr>
          <w:rFonts w:hint="eastAsia"/>
        </w:rPr>
      </w:pPr>
    </w:p>
    <w:p w14:paraId="49A0089B">
      <w:pPr>
        <w:pStyle w:val="29"/>
        <w:rPr>
          <w:rFonts w:hint="eastAsia"/>
        </w:rPr>
      </w:pPr>
    </w:p>
    <w:p w14:paraId="45B1E2FE">
      <w:pPr>
        <w:rPr>
          <w:rFonts w:hint="eastAsia"/>
        </w:rPr>
      </w:pPr>
    </w:p>
    <w:p w14:paraId="28FA128D">
      <w:pPr>
        <w:pStyle w:val="29"/>
        <w:rPr>
          <w:rFonts w:hint="eastAsia"/>
        </w:rPr>
      </w:pPr>
    </w:p>
    <w:p w14:paraId="4F084A99">
      <w:pPr>
        <w:rPr>
          <w:rFonts w:hint="eastAsia"/>
        </w:rPr>
      </w:pPr>
    </w:p>
    <w:p w14:paraId="567FD104">
      <w:pPr>
        <w:pStyle w:val="29"/>
        <w:rPr>
          <w:rFonts w:hint="eastAsia"/>
        </w:rPr>
      </w:pPr>
    </w:p>
    <w:p w14:paraId="4929EE97">
      <w:pPr>
        <w:rPr>
          <w:rFonts w:hint="eastAsia"/>
        </w:rPr>
      </w:pPr>
    </w:p>
    <w:p w14:paraId="3DE9C52A">
      <w:pPr>
        <w:pStyle w:val="29"/>
        <w:rPr>
          <w:rFonts w:hint="eastAsia"/>
        </w:rPr>
      </w:pPr>
    </w:p>
    <w:p w14:paraId="30936B94">
      <w:pPr>
        <w:rPr>
          <w:rFonts w:hint="eastAsia"/>
        </w:rPr>
      </w:pPr>
    </w:p>
    <w:p w14:paraId="058749B7">
      <w:pPr>
        <w:rPr>
          <w:rFonts w:hint="eastAsia"/>
        </w:rPr>
      </w:pPr>
      <w:r>
        <w:rPr>
          <w:rFonts w:hint="eastAsia"/>
        </w:rPr>
        <w:br w:type="page"/>
      </w:r>
    </w:p>
    <w:p w14:paraId="50B424F5">
      <w:pPr>
        <w:rPr>
          <w:rFonts w:hint="eastAsia"/>
        </w:rPr>
      </w:pPr>
    </w:p>
    <w:p w14:paraId="0983C622">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5"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5"/>
    </w:p>
    <w:p w14:paraId="065B3731">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9"/>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9"/>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9"/>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9"/>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9"/>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9"/>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9"/>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9"/>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9"/>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9"/>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9"/>
        <w:rPr>
          <w:rFonts w:hint="eastAsia"/>
          <w:lang w:val="en-US" w:eastAsia="zh-CN"/>
        </w:rPr>
      </w:pPr>
    </w:p>
    <w:p w14:paraId="1435FE39">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9"/>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4"/>
        <w:numPr>
          <w:ilvl w:val="0"/>
          <w:numId w:val="5"/>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9"/>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9"/>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4"/>
        <w:spacing w:before="0" w:after="0"/>
        <w:jc w:val="center"/>
        <w:rPr>
          <w:rFonts w:hint="eastAsia"/>
          <w:color w:val="auto"/>
          <w:sz w:val="28"/>
          <w:highlight w:val="none"/>
          <w:lang w:val="en-US" w:eastAsia="zh-CN"/>
        </w:rPr>
      </w:pPr>
      <w:bookmarkStart w:id="46" w:name="_Toc11982"/>
      <w:bookmarkStart w:id="47" w:name="_Toc23117"/>
    </w:p>
    <w:p w14:paraId="1D63579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6"/>
      <w:bookmarkEnd w:id="47"/>
    </w:p>
    <w:p w14:paraId="2E3C7D30">
      <w:pPr>
        <w:pStyle w:val="3"/>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4"/>
        <w:spacing w:before="0" w:after="0"/>
        <w:jc w:val="center"/>
        <w:rPr>
          <w:rFonts w:hint="eastAsia"/>
          <w:color w:val="auto"/>
          <w:sz w:val="28"/>
          <w:highlight w:val="none"/>
          <w:lang w:val="en-US" w:eastAsia="zh-CN"/>
        </w:rPr>
      </w:pPr>
      <w:bookmarkStart w:id="48" w:name="_Toc20496"/>
      <w:bookmarkStart w:id="49" w:name="_Toc23816"/>
    </w:p>
    <w:p w14:paraId="6B71FB0B">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8"/>
      <w:bookmarkEnd w:id="49"/>
    </w:p>
    <w:p w14:paraId="1BCA0CB1">
      <w:pPr>
        <w:spacing w:line="360" w:lineRule="auto"/>
        <w:rPr>
          <w:rFonts w:hint="eastAsia"/>
          <w:color w:val="auto"/>
          <w:sz w:val="24"/>
          <w:szCs w:val="24"/>
          <w:highlight w:val="cyan"/>
        </w:rPr>
      </w:pPr>
    </w:p>
    <w:p w14:paraId="24D4CD18">
      <w:pPr>
        <w:pStyle w:val="3"/>
        <w:rPr>
          <w:rFonts w:hint="eastAsia"/>
          <w:lang w:eastAsia="zh-CN"/>
        </w:rPr>
      </w:pPr>
    </w:p>
    <w:p w14:paraId="4734DD1D">
      <w:pPr>
        <w:pStyle w:val="3"/>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4"/>
        <w:bidi w:val="0"/>
        <w:jc w:val="center"/>
        <w:rPr>
          <w:rFonts w:hint="eastAsia"/>
          <w:color w:val="auto"/>
          <w:sz w:val="28"/>
          <w:highlight w:val="none"/>
          <w:lang w:val="en-US" w:eastAsia="zh-CN"/>
        </w:rPr>
      </w:pPr>
      <w:bookmarkStart w:id="50" w:name="_Toc4948"/>
      <w:bookmarkStart w:id="51" w:name="_Toc2922"/>
      <w:bookmarkStart w:id="52" w:name="_Toc337475928"/>
      <w:bookmarkStart w:id="53" w:name="_Toc320878714"/>
      <w:bookmarkStart w:id="54" w:name="_Toc337554798"/>
      <w:bookmarkStart w:id="55" w:name="_Toc30765"/>
      <w:bookmarkStart w:id="56" w:name="_Toc349642319"/>
      <w:bookmarkStart w:id="57" w:name="_Toc28583"/>
      <w:bookmarkStart w:id="58" w:name="_Toc10750"/>
      <w:bookmarkStart w:id="59" w:name="_Toc15867"/>
      <w:bookmarkStart w:id="60" w:name="_Toc304219331"/>
      <w:bookmarkStart w:id="61" w:name="_Toc4599"/>
      <w:bookmarkStart w:id="62" w:name="_Toc12801"/>
      <w:bookmarkStart w:id="63" w:name="_Toc29526"/>
    </w:p>
    <w:p w14:paraId="435CE2F6">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50"/>
      <w:bookmarkEnd w:id="51"/>
    </w:p>
    <w:p w14:paraId="77F7277A">
      <w:pPr>
        <w:pStyle w:val="3"/>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4"/>
        <w:bidi w:val="0"/>
        <w:jc w:val="center"/>
        <w:rPr>
          <w:rFonts w:hint="eastAsia"/>
          <w:sz w:val="28"/>
          <w:szCs w:val="28"/>
        </w:rPr>
      </w:pPr>
      <w:bookmarkStart w:id="64" w:name="_Toc7716"/>
      <w:bookmarkStart w:id="65" w:name="_Toc8810"/>
      <w:r>
        <w:rPr>
          <w:rFonts w:hint="eastAsia"/>
          <w:sz w:val="28"/>
          <w:szCs w:val="28"/>
          <w:lang w:val="en-US" w:eastAsia="zh-CN"/>
        </w:rPr>
        <w:t>九、优惠承诺</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6" w:name="_Toc11154"/>
      <w:bookmarkStart w:id="67" w:name="_Toc17593"/>
      <w:r>
        <w:rPr>
          <w:rFonts w:hint="eastAsia" w:asciiTheme="minorHAnsi" w:hAnsiTheme="minorHAnsi" w:eastAsiaTheme="minorEastAsia" w:cstheme="minorBidi"/>
          <w:b/>
          <w:bCs/>
          <w:kern w:val="2"/>
          <w:sz w:val="28"/>
          <w:szCs w:val="28"/>
          <w:lang w:val="en-US" w:eastAsia="zh-CN" w:bidi="ar-SA"/>
        </w:rPr>
        <w:t>十、</w:t>
      </w:r>
      <w:bookmarkEnd w:id="66"/>
      <w:bookmarkEnd w:id="67"/>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4"/>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A10F1783"/>
    <w:multiLevelType w:val="singleLevel"/>
    <w:tmpl w:val="A10F1783"/>
    <w:lvl w:ilvl="0" w:tentative="0">
      <w:start w:val="1"/>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abstractNum w:abstractNumId="4">
    <w:nsid w:val="660895EC"/>
    <w:multiLevelType w:val="singleLevel"/>
    <w:tmpl w:val="660895EC"/>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34C27A7"/>
    <w:rsid w:val="03AD3D20"/>
    <w:rsid w:val="03EA337C"/>
    <w:rsid w:val="04437611"/>
    <w:rsid w:val="04744CA2"/>
    <w:rsid w:val="04B0714F"/>
    <w:rsid w:val="04BE595E"/>
    <w:rsid w:val="04C4105D"/>
    <w:rsid w:val="04E61CBE"/>
    <w:rsid w:val="054779D0"/>
    <w:rsid w:val="05680A5D"/>
    <w:rsid w:val="05932A9E"/>
    <w:rsid w:val="05CB5D97"/>
    <w:rsid w:val="05D35F89"/>
    <w:rsid w:val="05EA790D"/>
    <w:rsid w:val="0704184F"/>
    <w:rsid w:val="07305EA5"/>
    <w:rsid w:val="077B4DAE"/>
    <w:rsid w:val="07CF4771"/>
    <w:rsid w:val="08265D45"/>
    <w:rsid w:val="08351931"/>
    <w:rsid w:val="08B407EF"/>
    <w:rsid w:val="08E26F7C"/>
    <w:rsid w:val="093800B7"/>
    <w:rsid w:val="0A0D0E47"/>
    <w:rsid w:val="0A110DF5"/>
    <w:rsid w:val="0A3960E0"/>
    <w:rsid w:val="0A946656"/>
    <w:rsid w:val="0B4C170E"/>
    <w:rsid w:val="0B883800"/>
    <w:rsid w:val="0BFE65A0"/>
    <w:rsid w:val="0C042388"/>
    <w:rsid w:val="0CC36935"/>
    <w:rsid w:val="0DBC62AE"/>
    <w:rsid w:val="0E1767B5"/>
    <w:rsid w:val="0E386221"/>
    <w:rsid w:val="0E603A9C"/>
    <w:rsid w:val="0F30730F"/>
    <w:rsid w:val="0F4F7355"/>
    <w:rsid w:val="0F8805F1"/>
    <w:rsid w:val="10107E27"/>
    <w:rsid w:val="10260301"/>
    <w:rsid w:val="10403535"/>
    <w:rsid w:val="104738CD"/>
    <w:rsid w:val="10B310F7"/>
    <w:rsid w:val="10DF0AE1"/>
    <w:rsid w:val="10F249ED"/>
    <w:rsid w:val="110D3767"/>
    <w:rsid w:val="119E337F"/>
    <w:rsid w:val="11A46BCD"/>
    <w:rsid w:val="11A958FA"/>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D379C3"/>
    <w:rsid w:val="24426B0A"/>
    <w:rsid w:val="245A486E"/>
    <w:rsid w:val="24F85AD9"/>
    <w:rsid w:val="25175F4B"/>
    <w:rsid w:val="251903EC"/>
    <w:rsid w:val="25322951"/>
    <w:rsid w:val="254E2C98"/>
    <w:rsid w:val="260C61C8"/>
    <w:rsid w:val="261063E6"/>
    <w:rsid w:val="264B7BA3"/>
    <w:rsid w:val="26D5184D"/>
    <w:rsid w:val="26E2276F"/>
    <w:rsid w:val="27AF5DAD"/>
    <w:rsid w:val="27BC3E13"/>
    <w:rsid w:val="27C326E9"/>
    <w:rsid w:val="27E36980"/>
    <w:rsid w:val="280817DA"/>
    <w:rsid w:val="285C714C"/>
    <w:rsid w:val="28684875"/>
    <w:rsid w:val="288E5405"/>
    <w:rsid w:val="28E2492E"/>
    <w:rsid w:val="2968678D"/>
    <w:rsid w:val="29A51AC7"/>
    <w:rsid w:val="29C27101"/>
    <w:rsid w:val="29C309A3"/>
    <w:rsid w:val="2A2B3B6F"/>
    <w:rsid w:val="2A4F30EC"/>
    <w:rsid w:val="2A97027B"/>
    <w:rsid w:val="2ACB44D0"/>
    <w:rsid w:val="2B6A2231"/>
    <w:rsid w:val="2BB206EA"/>
    <w:rsid w:val="2D8D413C"/>
    <w:rsid w:val="2DD1787D"/>
    <w:rsid w:val="2ED620E1"/>
    <w:rsid w:val="2F127620"/>
    <w:rsid w:val="2F197CDD"/>
    <w:rsid w:val="2FF06D60"/>
    <w:rsid w:val="302C1EE7"/>
    <w:rsid w:val="30364DFA"/>
    <w:rsid w:val="314C707A"/>
    <w:rsid w:val="31896E1D"/>
    <w:rsid w:val="31C2642D"/>
    <w:rsid w:val="31D852DB"/>
    <w:rsid w:val="322D4DA0"/>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F03D5C"/>
    <w:rsid w:val="3E0F3E83"/>
    <w:rsid w:val="3E673999"/>
    <w:rsid w:val="3EF96A15"/>
    <w:rsid w:val="400823FB"/>
    <w:rsid w:val="413D6E88"/>
    <w:rsid w:val="41607061"/>
    <w:rsid w:val="41655D0E"/>
    <w:rsid w:val="418051B7"/>
    <w:rsid w:val="41F352F3"/>
    <w:rsid w:val="422E7F3E"/>
    <w:rsid w:val="423B1942"/>
    <w:rsid w:val="427D1CE1"/>
    <w:rsid w:val="42AD1004"/>
    <w:rsid w:val="43B32016"/>
    <w:rsid w:val="43F34346"/>
    <w:rsid w:val="4413506B"/>
    <w:rsid w:val="44AF31BA"/>
    <w:rsid w:val="45E93670"/>
    <w:rsid w:val="4636043E"/>
    <w:rsid w:val="46822C95"/>
    <w:rsid w:val="46967A84"/>
    <w:rsid w:val="47D00F21"/>
    <w:rsid w:val="48091059"/>
    <w:rsid w:val="48166E5A"/>
    <w:rsid w:val="48964506"/>
    <w:rsid w:val="48F301C0"/>
    <w:rsid w:val="493F4F1D"/>
    <w:rsid w:val="49B52070"/>
    <w:rsid w:val="4A635EFC"/>
    <w:rsid w:val="4AAE67B2"/>
    <w:rsid w:val="4B4508B0"/>
    <w:rsid w:val="4BCD7176"/>
    <w:rsid w:val="4C0835E5"/>
    <w:rsid w:val="4C0A3328"/>
    <w:rsid w:val="4C0E0DC5"/>
    <w:rsid w:val="4C6317BE"/>
    <w:rsid w:val="4C6A6D6A"/>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50E8"/>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CC137A"/>
    <w:rsid w:val="60D3492A"/>
    <w:rsid w:val="61550FF1"/>
    <w:rsid w:val="616B313C"/>
    <w:rsid w:val="6171498D"/>
    <w:rsid w:val="62006A98"/>
    <w:rsid w:val="624C7731"/>
    <w:rsid w:val="62AB7268"/>
    <w:rsid w:val="63CE3967"/>
    <w:rsid w:val="642175AF"/>
    <w:rsid w:val="642D4DED"/>
    <w:rsid w:val="648C1737"/>
    <w:rsid w:val="650D6C88"/>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B7217F5"/>
    <w:rsid w:val="6C313409"/>
    <w:rsid w:val="6C71333F"/>
    <w:rsid w:val="6C93391D"/>
    <w:rsid w:val="6D3C2F82"/>
    <w:rsid w:val="6D873BF4"/>
    <w:rsid w:val="6D9D7AAA"/>
    <w:rsid w:val="6DAC7BB0"/>
    <w:rsid w:val="6DB815C9"/>
    <w:rsid w:val="6EBA0BF9"/>
    <w:rsid w:val="6ED670D6"/>
    <w:rsid w:val="6F126C2D"/>
    <w:rsid w:val="6F2F0E22"/>
    <w:rsid w:val="6F5114F1"/>
    <w:rsid w:val="6F7C7E61"/>
    <w:rsid w:val="6FBE6014"/>
    <w:rsid w:val="6FC32402"/>
    <w:rsid w:val="70322F14"/>
    <w:rsid w:val="706F1E6E"/>
    <w:rsid w:val="70F04FAA"/>
    <w:rsid w:val="71220F0F"/>
    <w:rsid w:val="716A72EA"/>
    <w:rsid w:val="718D686E"/>
    <w:rsid w:val="71A60213"/>
    <w:rsid w:val="72852AC3"/>
    <w:rsid w:val="72A34ABD"/>
    <w:rsid w:val="72B365B1"/>
    <w:rsid w:val="73847ABE"/>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A86758E"/>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 w:val="F9F702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autoRedefine/>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basedOn w:val="161"/>
    <w:next w:val="161"/>
    <w:autoRedefine/>
    <w:qFormat/>
    <w:uiPriority w:val="0"/>
    <w:pPr>
      <w:widowControl/>
      <w:ind w:firstLine="482"/>
    </w:pPr>
    <w:rPr>
      <w:rFonts w:ascii="微软雅黑" w:hAnsi="微软雅黑" w:eastAsia="微软雅黑"/>
      <w:kern w:val="0"/>
      <w:szCs w:val="20"/>
      <w:lang w:val="zh-CN"/>
    </w:rPr>
  </w:style>
  <w:style w:type="paragraph" w:customStyle="1" w:styleId="161">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37</Pages>
  <Words>5769</Words>
  <Characters>6035</Characters>
  <Lines>315</Lines>
  <Paragraphs>88</Paragraphs>
  <TotalTime>0</TotalTime>
  <ScaleCrop>false</ScaleCrop>
  <LinksUpToDate>false</LinksUpToDate>
  <CharactersWithSpaces>6913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2026-03-07T02:58:47Z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C41B7BFC289445CBAC293D9B7A810150_13</vt:lpwstr>
  </property>
  <property fmtid="{D5CDD505-2E9C-101B-9397-08002B2CF9AE}" pid="4" name="KSOTemplateDocerSaveRecord">
    <vt:lpwstr>eyJoZGlkIjoiMTUyMDA2ZjQ4N2YyNDAzZWJjY2U2NWNkZDY5ZDY4ZDAiLCJ1c2VySWQiOiIxNTkzMTM1MzcxIn0=</vt:lpwstr>
  </property>
</Properties>
</file>