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河南省胸科医院医用放大镜采购项目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035</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4</w:t>
      </w:r>
      <w:r>
        <w:rPr>
          <w:rFonts w:hint="eastAsia" w:ascii="宋体" w:hAnsi="宋体" w:cs="宋体"/>
          <w:b/>
          <w:sz w:val="30"/>
          <w:szCs w:val="30"/>
          <w:highlight w:val="yellow"/>
        </w:rPr>
        <w:t>月</w:t>
      </w:r>
      <w:bookmarkStart w:id="67" w:name="_GoBack"/>
      <w:bookmarkEnd w:id="67"/>
    </w:p>
    <w:p w14:paraId="1EE5635E">
      <w:pPr>
        <w:spacing w:line="360" w:lineRule="auto"/>
        <w:jc w:val="center"/>
        <w:rPr>
          <w:rFonts w:ascii="宋体" w:hAnsi="宋体" w:cs="宋体"/>
          <w:b/>
          <w:sz w:val="30"/>
          <w:szCs w:val="30"/>
          <w:highlight w:val="yellow"/>
        </w:rPr>
      </w:pP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河南省胸科医院医用放大镜采购项目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河南省胸科医院医用放大镜采购项目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医用放大镜</w:t>
      </w:r>
      <w:r>
        <w:rPr>
          <w:rFonts w:hint="eastAsia" w:asciiTheme="minorEastAsia" w:hAnsiTheme="minorEastAsia" w:eastAsiaTheme="minorEastAsia" w:cstheme="minorEastAsia"/>
          <w:color w:val="333333"/>
          <w:sz w:val="24"/>
          <w:szCs w:val="24"/>
          <w:lang w:val="en-US" w:eastAsia="zh-CN"/>
        </w:rPr>
        <w:t>5</w:t>
      </w:r>
      <w:r>
        <w:rPr>
          <w:rFonts w:hint="default" w:asciiTheme="minorEastAsia" w:hAnsiTheme="minorEastAsia" w:eastAsiaTheme="minorEastAsia" w:cstheme="minorEastAsia"/>
          <w:color w:val="333333"/>
          <w:sz w:val="24"/>
          <w:szCs w:val="24"/>
        </w:rPr>
        <w:t>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15</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24</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28</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2C223F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9A04EE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562352D9">
      <w:pPr>
        <w:numPr>
          <w:ilvl w:val="0"/>
          <w:numId w:val="2"/>
        </w:numPr>
        <w:spacing w:line="360" w:lineRule="auto"/>
        <w:ind w:left="0" w:leftChars="0" w:firstLine="0" w:firstLineChars="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3C2DCBB9">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1、数量：5台</w:t>
      </w:r>
    </w:p>
    <w:p w14:paraId="6AADEFE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2、产品类型：外科手术放大镜。</w:t>
      </w:r>
    </w:p>
    <w:p w14:paraId="6D1A534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3、放大倍数：2.5 倍。</w:t>
      </w:r>
    </w:p>
    <w:p w14:paraId="7C001F6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4、有效视野：工作距离 45cm 条件下，≥200mm。</w:t>
      </w:r>
    </w:p>
    <w:p w14:paraId="1605468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5、整机重量：≤41.0g。</w:t>
      </w:r>
    </w:p>
    <w:p w14:paraId="1A7BEAD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6、景深：≥100mm。</w:t>
      </w:r>
    </w:p>
    <w:p w14:paraId="2FDB4D9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7、镜框：轻质高强度医用金属材质。</w:t>
      </w:r>
    </w:p>
    <w:p w14:paraId="474DD9C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8、镜腿：医用级高分子材质。</w:t>
      </w:r>
    </w:p>
    <w:p w14:paraId="369B807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9、放大镜主体：高强度医用工程塑料。</w:t>
      </w:r>
    </w:p>
    <w:p w14:paraId="462DE4A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10、镜片：高折射率、抗磨损医用树脂镜片。</w:t>
      </w:r>
    </w:p>
    <w:p w14:paraId="17927406">
      <w:pPr>
        <w:spacing w:line="360" w:lineRule="auto"/>
        <w:rPr>
          <w:rFonts w:hint="eastAsia" w:ascii="宋体" w:hAnsi="宋体" w:cs="宋体"/>
          <w:sz w:val="24"/>
        </w:rPr>
      </w:pPr>
      <w:r>
        <w:rPr>
          <w:rFonts w:hint="eastAsia" w:ascii="宋体" w:hAnsi="宋体"/>
          <w:b/>
          <w:bCs/>
          <w:sz w:val="24"/>
        </w:rPr>
        <w:t>二、商务要求</w:t>
      </w:r>
    </w:p>
    <w:p w14:paraId="3BBB721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0A824E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6F050D1C">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1AB67F1A">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是</w:t>
      </w:r>
    </w:p>
    <w:p w14:paraId="22C28A5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23ADEC49">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6C7F0FCB">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753AE1F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2DF0537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281D5C2E">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p>
    <w:p w14:paraId="2E9EF517">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default" w:ascii="宋体" w:hAnsi="宋体" w:cs="等线"/>
          <w:sz w:val="24"/>
          <w:lang w:val="en-US" w:eastAsia="zh-CN"/>
        </w:rPr>
        <w:t>7607 0157 4000 00953</w:t>
      </w:r>
    </w:p>
    <w:p w14:paraId="415D4EA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3C6F77C0">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03D1C295">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31C6C67B">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7337A9AC">
      <w:pPr>
        <w:spacing w:line="360" w:lineRule="auto"/>
        <w:ind w:firstLine="240" w:firstLineChars="100"/>
        <w:rPr>
          <w:rFonts w:ascii="宋体" w:hAnsi="宋体"/>
          <w:color w:val="000000" w:themeColor="text1"/>
          <w:sz w:val="24"/>
          <w14:textFill>
            <w14:solidFill>
              <w14:schemeClr w14:val="tx1"/>
            </w14:solidFill>
          </w14:textFill>
        </w:rPr>
      </w:pP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12194387">
      <w:pPr>
        <w:rPr>
          <w:rFonts w:hint="eastAsia"/>
          <w:color w:val="auto"/>
          <w:sz w:val="28"/>
          <w:highlight w:val="none"/>
        </w:rPr>
      </w:pPr>
      <w:bookmarkStart w:id="6" w:name="_Toc24908"/>
      <w:r>
        <w:rPr>
          <w:rFonts w:hint="eastAsia"/>
          <w:color w:val="auto"/>
          <w:sz w:val="28"/>
          <w:highlight w:val="none"/>
        </w:rPr>
        <w:br w:type="page"/>
      </w:r>
    </w:p>
    <w:p w14:paraId="5EC67889">
      <w:pPr>
        <w:pStyle w:val="23"/>
        <w:spacing w:before="0" w:after="0"/>
        <w:rPr>
          <w:rFonts w:hint="eastAsia"/>
          <w:color w:val="auto"/>
          <w:sz w:val="28"/>
          <w:highlight w:val="none"/>
        </w:rPr>
      </w:pPr>
    </w:p>
    <w:p w14:paraId="00F333BB">
      <w:pPr>
        <w:pStyle w:val="23"/>
        <w:spacing w:before="0" w:after="0"/>
        <w:rPr>
          <w:rFonts w:hint="eastAsia"/>
          <w:color w:val="auto"/>
          <w:sz w:val="28"/>
          <w:highlight w:val="none"/>
        </w:rPr>
      </w:pPr>
    </w:p>
    <w:p w14:paraId="0B390A30">
      <w:pPr>
        <w:pStyle w:val="23"/>
        <w:spacing w:before="0" w:after="0"/>
        <w:rPr>
          <w:rFonts w:hint="eastAsia"/>
          <w:color w:val="auto"/>
          <w:sz w:val="28"/>
          <w:highlight w:val="none"/>
        </w:rPr>
      </w:pPr>
    </w:p>
    <w:p w14:paraId="1F4343B4">
      <w:pPr>
        <w:pStyle w:val="23"/>
        <w:spacing w:before="0" w:after="0"/>
        <w:rPr>
          <w:rFonts w:hint="eastAsia"/>
          <w:color w:val="auto"/>
          <w:sz w:val="28"/>
          <w:highlight w:val="none"/>
        </w:rPr>
      </w:pPr>
    </w:p>
    <w:p w14:paraId="691718CA">
      <w:pPr>
        <w:pStyle w:val="23"/>
        <w:spacing w:before="0" w:after="0"/>
        <w:rPr>
          <w:rFonts w:hint="eastAsia"/>
          <w:color w:val="auto"/>
          <w:sz w:val="28"/>
          <w:highlight w:val="none"/>
        </w:rPr>
      </w:pPr>
    </w:p>
    <w:p w14:paraId="0E33F639">
      <w:pPr>
        <w:pStyle w:val="23"/>
        <w:spacing w:before="0" w:after="0"/>
        <w:rPr>
          <w:rFonts w:hint="eastAsia"/>
          <w:color w:val="auto"/>
          <w:sz w:val="28"/>
          <w:highlight w:val="none"/>
        </w:rPr>
      </w:pPr>
    </w:p>
    <w:p w14:paraId="63F0CEAB">
      <w:pPr>
        <w:pStyle w:val="23"/>
        <w:spacing w:before="0" w:after="0"/>
        <w:rPr>
          <w:rFonts w:hint="eastAsia"/>
          <w:color w:val="auto"/>
          <w:sz w:val="28"/>
          <w:highlight w:val="none"/>
        </w:rPr>
      </w:pPr>
    </w:p>
    <w:p w14:paraId="10CF38B7">
      <w:pPr>
        <w:pStyle w:val="23"/>
        <w:spacing w:before="0" w:after="0"/>
        <w:rPr>
          <w:rFonts w:hint="eastAsia"/>
          <w:color w:val="auto"/>
          <w:sz w:val="28"/>
          <w:highlight w:val="none"/>
        </w:rPr>
      </w:pPr>
    </w:p>
    <w:p w14:paraId="133C0F26">
      <w:pPr>
        <w:pStyle w:val="23"/>
        <w:spacing w:before="0" w:after="0"/>
        <w:rPr>
          <w:rFonts w:hint="eastAsia"/>
          <w:color w:val="auto"/>
          <w:sz w:val="28"/>
          <w:highlight w:val="none"/>
        </w:rPr>
      </w:pPr>
    </w:p>
    <w:p w14:paraId="160FB256">
      <w:pPr>
        <w:pStyle w:val="23"/>
        <w:spacing w:before="0" w:after="0"/>
        <w:rPr>
          <w:color w:val="auto"/>
          <w:sz w:val="28"/>
          <w:highlight w:val="none"/>
        </w:rPr>
      </w:pPr>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902"/>
      <w:bookmarkStart w:id="8"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0DE6C16">
      <w:pPr>
        <w:spacing w:line="420" w:lineRule="auto"/>
        <w:rPr>
          <w:rFonts w:ascii="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AC40F39">
      <w:pPr>
        <w:rPr>
          <w:rFonts w:hint="eastAsia"/>
          <w:color w:val="auto"/>
          <w:sz w:val="28"/>
          <w:szCs w:val="36"/>
          <w:highlight w:val="none"/>
        </w:rPr>
      </w:pPr>
      <w:bookmarkStart w:id="10" w:name="_Toc31029"/>
      <w:bookmarkStart w:id="11" w:name="_Toc10534"/>
      <w:r>
        <w:rPr>
          <w:rFonts w:hint="eastAsia"/>
          <w:color w:val="auto"/>
          <w:sz w:val="28"/>
          <w:szCs w:val="36"/>
          <w:highlight w:val="none"/>
        </w:rPr>
        <w:br w:type="page"/>
      </w:r>
    </w:p>
    <w:p w14:paraId="578973E8">
      <w:pPr>
        <w:pStyle w:val="4"/>
        <w:spacing w:before="0" w:after="0"/>
        <w:jc w:val="center"/>
        <w:rPr>
          <w:rFonts w:hint="eastAsia"/>
          <w:color w:val="auto"/>
          <w:sz w:val="28"/>
          <w:szCs w:val="36"/>
          <w:highlight w:val="none"/>
        </w:rPr>
      </w:pPr>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1931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3266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32A4F4ED">
      <w:pPr>
        <w:rPr>
          <w:rFonts w:hint="eastAsia"/>
          <w:color w:val="auto"/>
          <w:sz w:val="28"/>
          <w:highlight w:val="none"/>
        </w:rPr>
      </w:pPr>
      <w:bookmarkStart w:id="35" w:name="_Toc29119"/>
      <w:r>
        <w:rPr>
          <w:rFonts w:hint="eastAsia"/>
          <w:color w:val="auto"/>
          <w:sz w:val="28"/>
          <w:highlight w:val="none"/>
        </w:rPr>
        <w:br w:type="page"/>
      </w:r>
    </w:p>
    <w:p w14:paraId="34EF4CEC">
      <w:pPr>
        <w:pStyle w:val="23"/>
        <w:rPr>
          <w:color w:val="auto"/>
          <w:sz w:val="28"/>
          <w:highlight w:val="none"/>
        </w:rPr>
      </w:pPr>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49642274"/>
      <w:bookmarkStart w:id="38" w:name="_Toc304219290"/>
      <w:bookmarkStart w:id="39" w:name="_Toc320878673"/>
      <w:bookmarkStart w:id="40" w:name="_Toc337554757"/>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39042BF">
      <w:pPr>
        <w:rPr>
          <w:rFonts w:hint="eastAsia"/>
          <w:color w:val="auto"/>
          <w:sz w:val="28"/>
          <w:szCs w:val="28"/>
          <w:highlight w:val="none"/>
          <w:lang w:val="en-US" w:eastAsia="zh-CN"/>
        </w:rPr>
      </w:pPr>
      <w:bookmarkStart w:id="44"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15AA9210">
      <w:pPr>
        <w:pStyle w:val="29"/>
        <w:rPr>
          <w:rFonts w:hint="eastAsia"/>
          <w:lang w:val="en-US" w:eastAsia="zh-CN"/>
        </w:rPr>
      </w:pPr>
    </w:p>
    <w:p w14:paraId="1CDFEC07">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28583"/>
      <w:bookmarkStart w:id="52" w:name="_Toc337475928"/>
      <w:bookmarkStart w:id="53" w:name="_Toc349642319"/>
      <w:bookmarkStart w:id="54" w:name="_Toc15867"/>
      <w:bookmarkStart w:id="55" w:name="_Toc12801"/>
      <w:bookmarkStart w:id="56" w:name="_Toc29526"/>
      <w:bookmarkStart w:id="57" w:name="_Toc4599"/>
      <w:bookmarkStart w:id="58" w:name="_Toc304219331"/>
      <w:bookmarkStart w:id="59" w:name="_Toc30765"/>
      <w:bookmarkStart w:id="60" w:name="_Toc320878714"/>
      <w:bookmarkStart w:id="61" w:name="_Toc10750"/>
      <w:bookmarkStart w:id="62" w:name="_Toc337554798"/>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207FB0"/>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70024"/>
    <w:rsid w:val="19AF28C9"/>
    <w:rsid w:val="19F7370F"/>
    <w:rsid w:val="1ACD7ED6"/>
    <w:rsid w:val="1AF974AC"/>
    <w:rsid w:val="1B0A41C7"/>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B21785"/>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AA1B1D"/>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CC7C7F"/>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4E4EA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5874</Words>
  <Characters>6235</Characters>
  <Lines>315</Lines>
  <Paragraphs>88</Paragraphs>
  <TotalTime>2</TotalTime>
  <ScaleCrop>false</ScaleCrop>
  <LinksUpToDate>false</LinksUpToDate>
  <CharactersWithSpaces>7110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2026-04-23T01:49:19Z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973E2D720BC4427EA88B879300B356D2_13</vt:lpwstr>
  </property>
  <property fmtid="{D5CDD505-2E9C-101B-9397-08002B2CF9AE}" pid="4" name="KSOTemplateDocerSaveRecord">
    <vt:lpwstr>eyJoZGlkIjoiMDMxYzc3MGIxYzU2OTljNjVjNTFmNTA1NzBkMDlhODAiLCJ1c2VySWQiOiIxNTkzMTM1MzczIn0=</vt:lpwstr>
  </property>
</Properties>
</file>