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34E837F7">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暗（夜）视力检测仪、视野计</w:t>
      </w:r>
    </w:p>
    <w:p w14:paraId="32940BC3">
      <w:pPr>
        <w:jc w:val="center"/>
        <w:rPr>
          <w:rFonts w:hint="eastAsia" w:ascii="宋体" w:hAnsi="宋体" w:cs="宋体"/>
          <w:b/>
          <w:sz w:val="40"/>
          <w:szCs w:val="40"/>
          <w:lang w:eastAsia="zh-CN"/>
        </w:rPr>
      </w:pPr>
      <w:r>
        <w:rPr>
          <w:rFonts w:hint="eastAsia" w:ascii="宋体" w:hAnsi="宋体" w:cs="宋体"/>
          <w:b/>
          <w:sz w:val="40"/>
          <w:szCs w:val="40"/>
          <w:lang w:eastAsia="zh-CN"/>
        </w:rPr>
        <w:t>采购项目</w:t>
      </w:r>
    </w:p>
    <w:p w14:paraId="75E3E65C">
      <w:pPr>
        <w:jc w:val="center"/>
        <w:rPr>
          <w:rFonts w:hint="default" w:ascii="宋体" w:hAnsi="宋体" w:cs="宋体"/>
          <w:b/>
          <w:color w:val="000000" w:themeColor="text1"/>
          <w:sz w:val="40"/>
          <w:szCs w:val="40"/>
          <w:u w:val="none"/>
          <w:lang w:val="en-US"/>
          <w14:textFill>
            <w14:solidFill>
              <w14:schemeClr w14:val="tx1"/>
            </w14:solidFill>
          </w14:textFill>
        </w:rPr>
      </w:pPr>
      <w:r>
        <w:rPr>
          <w:rFonts w:hint="eastAsia" w:ascii="宋体" w:hAnsi="宋体" w:cs="宋体"/>
          <w:b/>
          <w:sz w:val="40"/>
          <w:szCs w:val="40"/>
          <w:lang w:val="en-US" w:eastAsia="zh-CN"/>
        </w:rPr>
        <w:t>(包2)</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045</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lang w:eastAsia="zh-CN"/>
        </w:rPr>
        <w:t>202</w:t>
      </w:r>
      <w:r>
        <w:rPr>
          <w:rFonts w:hint="eastAsia" w:ascii="宋体" w:hAnsi="宋体" w:cs="宋体"/>
          <w:b/>
          <w:sz w:val="30"/>
          <w:szCs w:val="30"/>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06</w:t>
      </w:r>
      <w:r>
        <w:rPr>
          <w:rFonts w:hint="eastAsia" w:ascii="宋体" w:hAnsi="宋体" w:cs="宋体"/>
          <w:b/>
          <w:sz w:val="30"/>
          <w:szCs w:val="30"/>
          <w:highlight w:val="none"/>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04D88D7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河南省胸科医院暗（夜）视力检测仪、视野计采购项目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河南省胸科医院暗（夜）视力检测仪、视野计采购项目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暗（夜）视力检测仪</w:t>
      </w:r>
      <w:r>
        <w:rPr>
          <w:rFonts w:hint="default" w:asciiTheme="minorEastAsia" w:hAnsiTheme="minorEastAsia" w:eastAsiaTheme="minorEastAsia" w:cstheme="minorEastAsia"/>
          <w:color w:val="333333"/>
          <w:sz w:val="24"/>
          <w:szCs w:val="24"/>
        </w:rPr>
        <w:t>1台</w:t>
      </w:r>
      <w:r>
        <w:rPr>
          <w:rFonts w:hint="eastAsia" w:asciiTheme="minorEastAsia" w:hAnsiTheme="minorEastAsia" w:eastAsiaTheme="minorEastAsia" w:cstheme="minorEastAsia"/>
          <w:color w:val="333333"/>
          <w:sz w:val="24"/>
          <w:szCs w:val="24"/>
          <w:lang w:eastAsia="zh-CN"/>
        </w:rPr>
        <w:t>、视野计</w:t>
      </w:r>
      <w:r>
        <w:rPr>
          <w:rFonts w:hint="eastAsia" w:asciiTheme="minorEastAsia" w:hAnsiTheme="minorEastAsia" w:eastAsiaTheme="minorEastAsia" w:cstheme="minorEastAsia"/>
          <w:color w:val="333333"/>
          <w:sz w:val="24"/>
          <w:szCs w:val="24"/>
          <w:lang w:val="en-US" w:eastAsia="zh-CN"/>
        </w:rPr>
        <w:t>1台</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w:t>
      </w:r>
      <w:r>
        <w:rPr>
          <w:rFonts w:hint="default" w:asciiTheme="minorEastAsia" w:hAnsiTheme="minorEastAsia" w:eastAsiaTheme="minorEastAsia" w:cstheme="minorEastAsia"/>
          <w:color w:val="333333"/>
          <w:sz w:val="24"/>
          <w:szCs w:val="24"/>
          <w:highlight w:val="none"/>
        </w:rPr>
        <w:t>民币1</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万元</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包1：</w:t>
      </w:r>
      <w:r>
        <w:rPr>
          <w:rFonts w:hint="eastAsia" w:asciiTheme="minorEastAsia" w:hAnsiTheme="minorEastAsia" w:eastAsiaTheme="minorEastAsia" w:cstheme="minorEastAsia"/>
          <w:color w:val="333333"/>
          <w:sz w:val="24"/>
          <w:szCs w:val="24"/>
          <w:lang w:eastAsia="zh-CN"/>
        </w:rPr>
        <w:t>暗（夜）视力检测仪</w:t>
      </w:r>
      <w:r>
        <w:rPr>
          <w:rFonts w:hint="eastAsia" w:asciiTheme="minorEastAsia" w:hAnsiTheme="minorEastAsia" w:eastAsiaTheme="minorEastAsia" w:cstheme="minorEastAsia"/>
          <w:color w:val="333333"/>
          <w:sz w:val="24"/>
          <w:szCs w:val="24"/>
          <w:lang w:val="en-US" w:eastAsia="zh-CN"/>
        </w:rPr>
        <w:t>5万元，包2：</w:t>
      </w:r>
      <w:r>
        <w:rPr>
          <w:rFonts w:hint="eastAsia" w:asciiTheme="minorEastAsia" w:hAnsiTheme="minorEastAsia" w:eastAsiaTheme="minorEastAsia" w:cstheme="minorEastAsia"/>
          <w:color w:val="333333"/>
          <w:sz w:val="24"/>
          <w:szCs w:val="24"/>
          <w:lang w:eastAsia="zh-CN"/>
        </w:rPr>
        <w:t>视野计</w:t>
      </w:r>
      <w:r>
        <w:rPr>
          <w:rFonts w:hint="eastAsia" w:asciiTheme="minorEastAsia" w:hAnsiTheme="minorEastAsia" w:eastAsiaTheme="minorEastAsia" w:cstheme="minorEastAsia"/>
          <w:color w:val="333333"/>
          <w:sz w:val="24"/>
          <w:szCs w:val="24"/>
          <w:lang w:val="en-US" w:eastAsia="zh-CN"/>
        </w:rPr>
        <w:t>7万元</w:t>
      </w:r>
      <w:r>
        <w:rPr>
          <w:rFonts w:hint="eastAsia" w:asciiTheme="minorEastAsia" w:hAnsiTheme="minorEastAsia" w:eastAsiaTheme="minorEastAsia" w:cstheme="minorEastAsia"/>
          <w:color w:val="333333"/>
          <w:sz w:val="24"/>
          <w:szCs w:val="24"/>
          <w:lang w:eastAsia="zh-CN"/>
        </w:rPr>
        <w:t>）</w:t>
      </w:r>
      <w:r>
        <w:rPr>
          <w:rFonts w:hint="default" w:asciiTheme="minorEastAsia" w:hAnsiTheme="minorEastAsia" w:eastAsiaTheme="minorEastAsia" w:cstheme="minorEastAsia"/>
          <w:color w:val="333333"/>
          <w:sz w:val="24"/>
          <w:szCs w:val="24"/>
        </w:rPr>
        <w:t>。</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w:t>
      </w:r>
      <w:r>
        <w:rPr>
          <w:rFonts w:hint="default" w:asciiTheme="minorEastAsia" w:hAnsiTheme="minorEastAsia" w:eastAsiaTheme="minorEastAsia" w:cstheme="minorEastAsia"/>
          <w:color w:val="333333"/>
          <w:sz w:val="24"/>
          <w:szCs w:val="24"/>
          <w:highlight w:val="none"/>
        </w:rPr>
        <w:t>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包1</w:t>
      </w:r>
      <w:r>
        <w:rPr>
          <w:rFonts w:hint="eastAsia" w:asciiTheme="minorEastAsia" w:hAnsiTheme="minorEastAsia" w:eastAsiaTheme="minorEastAsia" w:cstheme="minorEastAsia"/>
          <w:color w:val="333333"/>
          <w:sz w:val="24"/>
          <w:szCs w:val="24"/>
          <w:lang w:eastAsia="zh-CN"/>
        </w:rPr>
        <w:t>议价文件</w:t>
      </w:r>
    </w:p>
    <w:p w14:paraId="556678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包2</w:t>
      </w:r>
      <w:r>
        <w:rPr>
          <w:rFonts w:hint="eastAsia" w:asciiTheme="minorEastAsia" w:hAnsiTheme="minorEastAsia" w:eastAsiaTheme="minorEastAsia" w:cstheme="minorEastAsia"/>
          <w:color w:val="333333"/>
          <w:sz w:val="24"/>
          <w:szCs w:val="24"/>
          <w:lang w:eastAsia="zh-CN"/>
        </w:rPr>
        <w:t>议价文件</w:t>
      </w: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22EBCD28">
      <w:pPr>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一、技术要求</w:t>
      </w:r>
    </w:p>
    <w:p w14:paraId="3D2FA86E">
      <w:pPr>
        <w:spacing w:line="360" w:lineRule="auto"/>
        <w:rPr>
          <w:rFonts w:hint="eastAsia"/>
          <w:color w:val="auto"/>
          <w:sz w:val="24"/>
          <w:szCs w:val="24"/>
          <w:lang w:val="en-US" w:eastAsia="zh-CN"/>
        </w:rPr>
      </w:pPr>
      <w:r>
        <w:rPr>
          <w:rFonts w:hint="eastAsia"/>
          <w:color w:val="auto"/>
          <w:sz w:val="24"/>
          <w:szCs w:val="24"/>
          <w:lang w:val="en-US" w:eastAsia="zh-CN"/>
        </w:rPr>
        <w:t>1.数量：1台</w:t>
      </w:r>
    </w:p>
    <w:p w14:paraId="272BE1A7">
      <w:pPr>
        <w:spacing w:line="360" w:lineRule="auto"/>
        <w:rPr>
          <w:rFonts w:hint="eastAsia" w:ascii="宋体" w:hAnsi="宋体" w:cs="宋体"/>
          <w:b w:val="0"/>
          <w:bCs w:val="0"/>
          <w:color w:val="auto"/>
          <w:sz w:val="24"/>
          <w:u w:val="none"/>
          <w:lang w:val="en-US" w:eastAsia="zh-CN"/>
        </w:rPr>
      </w:pPr>
      <w:r>
        <w:rPr>
          <w:rFonts w:hint="eastAsia" w:ascii="宋体" w:hAnsi="宋体" w:cs="宋体"/>
          <w:b w:val="0"/>
          <w:bCs w:val="0"/>
          <w:color w:val="auto"/>
          <w:sz w:val="24"/>
          <w:u w:val="none"/>
          <w:lang w:val="en-US" w:eastAsia="zh-CN"/>
        </w:rPr>
        <w:t>2.刺激产生方式：隐蔽LED阵列，满足常规视野检查的光学要求</w:t>
      </w:r>
    </w:p>
    <w:p w14:paraId="74DDF096">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3.视野检查范围：≥150°</w:t>
      </w:r>
    </w:p>
    <w:p w14:paraId="789FFE6D">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4.检测距离≤30cm</w:t>
      </w:r>
    </w:p>
    <w:p w14:paraId="1760F2A9">
      <w:pPr>
        <w:spacing w:line="360" w:lineRule="auto"/>
        <w:rPr>
          <w:rFonts w:hint="eastAsia" w:ascii="宋体" w:hAnsi="宋体" w:cs="宋体"/>
          <w:color w:val="auto"/>
          <w:sz w:val="24"/>
          <w:u w:val="none"/>
          <w:vertAlign w:val="superscript"/>
          <w:lang w:val="en-US" w:eastAsia="zh-CN"/>
        </w:rPr>
      </w:pPr>
      <w:r>
        <w:rPr>
          <w:rFonts w:hint="eastAsia" w:ascii="宋体" w:hAnsi="宋体" w:cs="宋体"/>
          <w:color w:val="auto"/>
          <w:sz w:val="24"/>
          <w:u w:val="none"/>
          <w:lang w:val="en-US" w:eastAsia="zh-CN"/>
        </w:rPr>
        <w:t>5.视野屏背景亮度：31.5 asb ( 10cd/m</w:t>
      </w:r>
      <w:r>
        <w:rPr>
          <w:rFonts w:hint="eastAsia" w:ascii="宋体" w:hAnsi="宋体" w:cs="宋体"/>
          <w:color w:val="auto"/>
          <w:sz w:val="24"/>
          <w:u w:val="none"/>
          <w:vertAlign w:val="superscript"/>
          <w:lang w:val="en-US" w:eastAsia="zh-CN"/>
        </w:rPr>
        <w:t>2</w:t>
      </w:r>
      <w:r>
        <w:rPr>
          <w:rFonts w:hint="eastAsia" w:ascii="宋体" w:hAnsi="宋体" w:cs="宋体"/>
          <w:color w:val="auto"/>
          <w:sz w:val="24"/>
          <w:u w:val="none"/>
          <w:lang w:val="en-US" w:eastAsia="zh-CN"/>
        </w:rPr>
        <w:t xml:space="preserve"> )，100 cd/m</w:t>
      </w:r>
      <w:r>
        <w:rPr>
          <w:rFonts w:hint="eastAsia" w:ascii="宋体" w:hAnsi="宋体" w:cs="宋体"/>
          <w:color w:val="auto"/>
          <w:sz w:val="24"/>
          <w:u w:val="none"/>
          <w:vertAlign w:val="superscript"/>
          <w:lang w:val="en-US" w:eastAsia="zh-CN"/>
        </w:rPr>
        <w:t>2</w:t>
      </w:r>
    </w:p>
    <w:p w14:paraId="5C39A22B">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6.视标尺寸：Goldmann III</w:t>
      </w:r>
    </w:p>
    <w:p w14:paraId="56DDED50">
      <w:pPr>
        <w:spacing w:line="360" w:lineRule="auto"/>
        <w:rPr>
          <w:rFonts w:hint="default" w:ascii="宋体" w:hAnsi="宋体" w:cs="宋体"/>
          <w:color w:val="auto"/>
          <w:sz w:val="24"/>
          <w:lang w:val="en-US" w:eastAsia="zh-CN"/>
        </w:rPr>
      </w:pPr>
      <w:r>
        <w:rPr>
          <w:rFonts w:hint="eastAsia" w:ascii="宋体" w:hAnsi="宋体" w:cs="宋体"/>
          <w:color w:val="auto"/>
          <w:sz w:val="24"/>
          <w:lang w:val="en-US" w:eastAsia="zh-CN"/>
        </w:rPr>
        <w:t>7.视标亮度：0.08 asb - 10,000 asb （0-50 dB）</w:t>
      </w:r>
    </w:p>
    <w:p w14:paraId="530C6A4D">
      <w:pPr>
        <w:spacing w:line="360" w:lineRule="auto"/>
        <w:rPr>
          <w:rFonts w:hint="default" w:ascii="宋体" w:hAnsi="宋体" w:cs="宋体"/>
          <w:color w:val="auto"/>
          <w:sz w:val="24"/>
          <w:u w:val="none"/>
          <w:lang w:val="en-US" w:eastAsia="zh-CN"/>
        </w:rPr>
      </w:pPr>
      <w:r>
        <w:rPr>
          <w:rFonts w:hint="eastAsia" w:ascii="宋体" w:hAnsi="宋体" w:cs="宋体"/>
          <w:color w:val="auto"/>
          <w:sz w:val="24"/>
          <w:u w:val="none"/>
          <w:lang w:val="en-US" w:eastAsia="zh-CN"/>
        </w:rPr>
        <w:t>8.视标呈现时间200ms，可配置</w:t>
      </w:r>
    </w:p>
    <w:p w14:paraId="69F628A2">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9.阈值检测模式：</w:t>
      </w:r>
    </w:p>
    <w:p w14:paraId="7DB6ED8B">
      <w:pPr>
        <w:spacing w:line="360" w:lineRule="auto"/>
        <w:ind w:firstLine="240" w:firstLineChars="100"/>
        <w:rPr>
          <w:rFonts w:hint="eastAsia" w:ascii="宋体" w:hAnsi="宋体" w:cs="宋体"/>
          <w:color w:val="auto"/>
          <w:sz w:val="24"/>
          <w:lang w:val="en-US" w:eastAsia="zh-CN"/>
        </w:rPr>
      </w:pPr>
      <w:r>
        <w:rPr>
          <w:rFonts w:hint="eastAsia" w:ascii="宋体" w:hAnsi="宋体" w:cs="宋体"/>
          <w:color w:val="auto"/>
          <w:sz w:val="24"/>
          <w:lang w:val="en-US" w:eastAsia="zh-CN"/>
        </w:rPr>
        <w:t>9.1.中心视野：至少包含T10-2，T24-2，T30-2，T-Macula (黄斑)</w:t>
      </w:r>
    </w:p>
    <w:p w14:paraId="2215D8F4">
      <w:pPr>
        <w:spacing w:line="360" w:lineRule="auto"/>
        <w:ind w:firstLine="240" w:firstLineChars="100"/>
        <w:rPr>
          <w:rFonts w:hint="default" w:ascii="宋体" w:hAnsi="宋体" w:cs="宋体"/>
          <w:color w:val="auto"/>
          <w:sz w:val="24"/>
          <w:lang w:val="en-US" w:eastAsia="zh-CN"/>
        </w:rPr>
      </w:pPr>
      <w:r>
        <w:rPr>
          <w:rFonts w:hint="eastAsia" w:ascii="宋体" w:hAnsi="宋体" w:cs="宋体"/>
          <w:color w:val="auto"/>
          <w:sz w:val="24"/>
          <w:lang w:val="en-US" w:eastAsia="zh-CN"/>
        </w:rPr>
        <w:t>9.2.周边视野：至少包含T60-2，T60-4</w:t>
      </w:r>
    </w:p>
    <w:p w14:paraId="0B701674">
      <w:pPr>
        <w:spacing w:line="360" w:lineRule="auto"/>
        <w:rPr>
          <w:rFonts w:hint="default" w:ascii="宋体" w:hAnsi="宋体" w:cs="宋体"/>
          <w:color w:val="auto"/>
          <w:sz w:val="24"/>
          <w:lang w:val="en-US" w:eastAsia="zh-CN"/>
        </w:rPr>
      </w:pPr>
      <w:r>
        <w:rPr>
          <w:rFonts w:hint="eastAsia" w:ascii="宋体" w:hAnsi="宋体" w:cs="宋体"/>
          <w:color w:val="auto"/>
          <w:sz w:val="24"/>
          <w:lang w:val="en-US" w:eastAsia="zh-CN"/>
        </w:rPr>
        <w:t>10.阈值检测策略：至少包含全阈值， Fast Ladder,  HISA，标准阈值</w:t>
      </w:r>
    </w:p>
    <w:p w14:paraId="4113E209">
      <w:pPr>
        <w:spacing w:line="360" w:lineRule="auto"/>
        <w:rPr>
          <w:rFonts w:hint="default" w:ascii="宋体" w:hAnsi="宋体" w:cs="宋体"/>
          <w:color w:val="auto"/>
          <w:sz w:val="24"/>
          <w:lang w:val="en-US" w:eastAsia="zh-CN"/>
        </w:rPr>
      </w:pPr>
      <w:r>
        <w:rPr>
          <w:rFonts w:hint="eastAsia" w:ascii="宋体" w:hAnsi="宋体" w:cs="宋体"/>
          <w:color w:val="auto"/>
          <w:sz w:val="24"/>
          <w:lang w:val="en-US" w:eastAsia="zh-CN"/>
        </w:rPr>
        <w:t>11.阈上值检测模式：</w:t>
      </w:r>
    </w:p>
    <w:p w14:paraId="061A77A7">
      <w:pPr>
        <w:spacing w:line="360" w:lineRule="auto"/>
        <w:ind w:firstLine="240" w:firstLineChars="100"/>
        <w:rPr>
          <w:rFonts w:hint="default" w:ascii="宋体" w:hAnsi="宋体" w:cs="宋体"/>
          <w:color w:val="auto"/>
          <w:sz w:val="24"/>
          <w:lang w:val="en-US" w:eastAsia="zh-CN"/>
        </w:rPr>
      </w:pPr>
      <w:r>
        <w:rPr>
          <w:rFonts w:hint="eastAsia" w:ascii="宋体" w:hAnsi="宋体" w:cs="宋体"/>
          <w:color w:val="auto"/>
          <w:sz w:val="24"/>
          <w:lang w:val="en-US" w:eastAsia="zh-CN"/>
        </w:rPr>
        <w:t>11.1.中心视野：至少包含S-40,  S-64,  S-76</w:t>
      </w:r>
    </w:p>
    <w:p w14:paraId="3239D978">
      <w:pPr>
        <w:spacing w:line="360" w:lineRule="auto"/>
        <w:ind w:firstLine="240" w:firstLineChars="100"/>
        <w:rPr>
          <w:rFonts w:hint="default" w:ascii="宋体" w:hAnsi="宋体" w:cs="宋体"/>
          <w:color w:val="auto"/>
          <w:sz w:val="24"/>
          <w:lang w:val="en-US" w:eastAsia="zh-CN"/>
        </w:rPr>
      </w:pPr>
      <w:r>
        <w:rPr>
          <w:rFonts w:hint="eastAsia" w:ascii="宋体" w:hAnsi="宋体" w:cs="宋体"/>
          <w:color w:val="auto"/>
          <w:sz w:val="24"/>
          <w:lang w:val="en-US" w:eastAsia="zh-CN"/>
        </w:rPr>
        <w:t>11.2.周边视野：至少包含S60</w:t>
      </w:r>
    </w:p>
    <w:p w14:paraId="1B681073">
      <w:pPr>
        <w:spacing w:line="360" w:lineRule="auto"/>
        <w:rPr>
          <w:rFonts w:hint="default" w:ascii="宋体" w:hAnsi="宋体" w:cs="宋体"/>
          <w:color w:val="auto"/>
          <w:sz w:val="24"/>
          <w:lang w:val="en-US" w:eastAsia="zh-CN"/>
        </w:rPr>
      </w:pPr>
      <w:r>
        <w:rPr>
          <w:rFonts w:hint="eastAsia" w:ascii="宋体" w:hAnsi="宋体" w:cs="宋体"/>
          <w:color w:val="auto"/>
          <w:sz w:val="24"/>
          <w:lang w:val="en-US" w:eastAsia="zh-CN"/>
        </w:rPr>
        <w:t>12.阈上值检测策略：至少包含两区，三区，定量缺损</w:t>
      </w:r>
    </w:p>
    <w:p w14:paraId="2A0C2DD9">
      <w:pPr>
        <w:spacing w:line="360" w:lineRule="auto"/>
        <w:rPr>
          <w:rFonts w:hint="default" w:ascii="宋体" w:hAnsi="宋体" w:cs="宋体"/>
          <w:b/>
          <w:bCs/>
          <w:color w:val="0000FF"/>
          <w:sz w:val="24"/>
          <w:u w:val="single"/>
          <w:lang w:val="en-US" w:eastAsia="zh-CN"/>
        </w:rPr>
      </w:pPr>
      <w:r>
        <w:rPr>
          <w:rFonts w:hint="eastAsia" w:ascii="宋体" w:hAnsi="宋体" w:cs="宋体"/>
          <w:color w:val="auto"/>
          <w:sz w:val="24"/>
          <w:lang w:val="en-US" w:eastAsia="zh-CN"/>
        </w:rPr>
        <w:t>13.特殊检测模式：至少包含Esterman单眼残疾鉴定，Esterman双眼残疾鉴定，D30, D60,</w:t>
      </w:r>
      <w:r>
        <w:rPr>
          <w:rFonts w:hint="eastAsia" w:ascii="宋体" w:hAnsi="宋体" w:cs="宋体"/>
          <w:color w:val="0000FF"/>
          <w:sz w:val="24"/>
          <w:lang w:val="en-US" w:eastAsia="zh-CN"/>
        </w:rPr>
        <w:t xml:space="preserve"> </w:t>
      </w:r>
      <w:r>
        <w:rPr>
          <w:rFonts w:hint="eastAsia" w:asciiTheme="majorEastAsia" w:hAnsiTheme="majorEastAsia" w:eastAsiaTheme="majorEastAsia" w:cstheme="majorEastAsia"/>
          <w:color w:val="auto"/>
          <w:sz w:val="24"/>
          <w:szCs w:val="24"/>
          <w:lang w:val="en-US" w:eastAsia="zh-CN"/>
        </w:rPr>
        <w:t>驾驶员≥</w:t>
      </w: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5</w:t>
      </w:r>
      <w:r>
        <w:rPr>
          <w:rFonts w:hint="eastAsia" w:asciiTheme="majorEastAsia" w:hAnsiTheme="majorEastAsia" w:eastAsiaTheme="majorEastAsia" w:cstheme="majorEastAsia"/>
          <w:color w:val="000000"/>
          <w:sz w:val="24"/>
          <w:szCs w:val="24"/>
        </w:rPr>
        <w:t>0º水平视野检查</w:t>
      </w:r>
    </w:p>
    <w:p w14:paraId="69670AA2">
      <w:pPr>
        <w:spacing w:line="360" w:lineRule="auto"/>
        <w:rPr>
          <w:rFonts w:hint="default" w:ascii="宋体" w:hAnsi="宋体" w:cs="宋体"/>
          <w:color w:val="auto"/>
          <w:sz w:val="24"/>
          <w:lang w:val="en-US" w:eastAsia="zh-CN"/>
        </w:rPr>
      </w:pPr>
      <w:r>
        <w:rPr>
          <w:rFonts w:hint="eastAsia" w:ascii="宋体" w:hAnsi="宋体" w:cs="宋体"/>
          <w:color w:val="auto"/>
          <w:sz w:val="24"/>
          <w:lang w:val="en-US" w:eastAsia="zh-CN"/>
        </w:rPr>
        <w:t>14.固视监测：至少包含Heijl/Krakau盲点检测，红外眼位跟踪，实时凝视监视，凝视跟踪，瞳孔检测</w:t>
      </w:r>
    </w:p>
    <w:p w14:paraId="35C71439">
      <w:pPr>
        <w:spacing w:line="360" w:lineRule="auto"/>
        <w:rPr>
          <w:rFonts w:hint="eastAsia" w:ascii="宋体" w:hAnsi="宋体" w:eastAsia="宋体" w:cs="宋体"/>
          <w:b/>
          <w:bCs/>
          <w:color w:val="0000FF"/>
          <w:sz w:val="24"/>
          <w:u w:val="single"/>
          <w:lang w:val="en-US" w:eastAsia="zh-CN"/>
        </w:rPr>
      </w:pPr>
      <w:r>
        <w:rPr>
          <w:rFonts w:hint="eastAsia" w:ascii="宋体" w:hAnsi="宋体" w:cs="宋体"/>
          <w:color w:val="auto"/>
          <w:sz w:val="24"/>
          <w:lang w:val="en-US" w:eastAsia="zh-CN"/>
        </w:rPr>
        <w:t>15.分析软件：</w:t>
      </w:r>
      <w:bookmarkStart w:id="5" w:name="OLE_LINK7"/>
      <w:bookmarkStart w:id="6" w:name="OLE_LINK8"/>
      <w:r>
        <w:rPr>
          <w:rFonts w:hint="eastAsia" w:ascii="宋体" w:hAnsi="宋体" w:cs="宋体"/>
          <w:color w:val="auto"/>
          <w:sz w:val="24"/>
          <w:lang w:val="en-US" w:eastAsia="zh-CN"/>
        </w:rPr>
        <w:t>VFI视野指数分析，GHT青光眼半视野分析，青光眼进展分析</w:t>
      </w:r>
      <w:bookmarkEnd w:id="5"/>
      <w:bookmarkEnd w:id="6"/>
      <w:r>
        <w:rPr>
          <w:rFonts w:hint="eastAsia" w:ascii="宋体" w:hAnsi="宋体" w:cs="宋体"/>
          <w:color w:val="auto"/>
          <w:sz w:val="24"/>
          <w:lang w:val="en-US" w:eastAsia="zh-CN"/>
        </w:rPr>
        <w:t>，</w:t>
      </w:r>
      <w:bookmarkStart w:id="7" w:name="OLE_LINK10"/>
      <w:bookmarkStart w:id="8" w:name="OLE_LINK9"/>
      <w:r>
        <w:rPr>
          <w:rFonts w:hint="eastAsia" w:ascii="宋体" w:hAnsi="宋体" w:cs="宋体"/>
          <w:color w:val="auto"/>
          <w:sz w:val="24"/>
          <w:lang w:val="en-US" w:eastAsia="zh-CN"/>
        </w:rPr>
        <w:t>单视野分析，单/多视野分析</w:t>
      </w:r>
      <w:bookmarkEnd w:id="7"/>
      <w:bookmarkEnd w:id="8"/>
      <w:r>
        <w:rPr>
          <w:rFonts w:hint="eastAsia" w:ascii="宋体" w:hAnsi="宋体" w:cs="宋体"/>
          <w:color w:val="auto"/>
          <w:sz w:val="24"/>
          <w:lang w:val="en-US" w:eastAsia="zh-CN"/>
        </w:rPr>
        <w:t>，HISA智能分析，联网共享，水平视野分析，瞳孔测量</w:t>
      </w:r>
    </w:p>
    <w:p w14:paraId="3A83DF53">
      <w:pPr>
        <w:spacing w:line="360" w:lineRule="auto"/>
        <w:rPr>
          <w:rFonts w:hint="default" w:ascii="宋体" w:hAnsi="宋体" w:cs="宋体"/>
          <w:color w:val="0000FF"/>
          <w:sz w:val="24"/>
          <w:lang w:val="en-US" w:eastAsia="zh-CN"/>
        </w:rPr>
      </w:pPr>
      <w:r>
        <w:rPr>
          <w:rFonts w:hint="eastAsia" w:ascii="宋体" w:hAnsi="宋体" w:cs="宋体"/>
          <w:color w:val="auto"/>
          <w:sz w:val="24"/>
          <w:lang w:val="en-US" w:eastAsia="zh-CN"/>
        </w:rPr>
        <w:t>16.响应器：采用手持式按钮响应器</w:t>
      </w:r>
    </w:p>
    <w:p w14:paraId="6F4D218D">
      <w:pPr>
        <w:spacing w:line="360" w:lineRule="auto"/>
        <w:rPr>
          <w:rFonts w:hint="default" w:ascii="宋体" w:hAnsi="宋体" w:cs="宋体"/>
          <w:color w:val="auto"/>
          <w:sz w:val="24"/>
          <w:lang w:val="en-US" w:eastAsia="zh-CN"/>
        </w:rPr>
      </w:pPr>
      <w:r>
        <w:rPr>
          <w:rFonts w:hint="eastAsia" w:ascii="宋体" w:hAnsi="宋体" w:cs="宋体"/>
          <w:color w:val="auto"/>
          <w:sz w:val="24"/>
          <w:lang w:val="en-US" w:eastAsia="zh-CN"/>
        </w:rPr>
        <w:t>17.操作系统：应具备</w:t>
      </w:r>
      <w:r>
        <w:rPr>
          <w:rFonts w:hint="default" w:ascii="宋体" w:hAnsi="宋体" w:cs="宋体"/>
          <w:color w:val="auto"/>
          <w:sz w:val="24"/>
          <w:lang w:val="en-US" w:eastAsia="zh-CN"/>
        </w:rPr>
        <w:t>防病毒能力，系统运行稳定，不支持日常办公软件安装</w:t>
      </w:r>
    </w:p>
    <w:p w14:paraId="7A4DB110">
      <w:pPr>
        <w:spacing w:line="360" w:lineRule="auto"/>
        <w:rPr>
          <w:rFonts w:hint="eastAsia"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18.使用年限≥8年</w:t>
      </w:r>
    </w:p>
    <w:p w14:paraId="651EF2EE">
      <w:pPr>
        <w:spacing w:line="360" w:lineRule="auto"/>
        <w:rPr>
          <w:rFonts w:hint="default" w:ascii="宋体" w:hAnsi="宋体" w:eastAsia="宋体"/>
          <w:b/>
          <w:bCs/>
          <w:color w:val="000000" w:themeColor="text1"/>
          <w:sz w:val="24"/>
          <w:lang w:val="en-US" w:eastAsia="zh-CN"/>
          <w14:textFill>
            <w14:solidFill>
              <w14:schemeClr w14:val="tx1"/>
            </w14:solidFill>
          </w14:textFill>
        </w:rPr>
      </w:pPr>
    </w:p>
    <w:p w14:paraId="5FD65BB7">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533E8B2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6434B24A">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17025768">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79EDF765">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1F31BBF2">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04C7AA6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≥3年</w:t>
      </w:r>
      <w:r>
        <w:rPr>
          <w:rFonts w:hint="eastAsia" w:ascii="宋体" w:hAnsi="宋体" w:cs="宋体"/>
          <w:color w:val="000000" w:themeColor="text1"/>
          <w:sz w:val="24"/>
          <w14:textFill>
            <w14:solidFill>
              <w14:schemeClr w14:val="tx1"/>
            </w14:solidFill>
          </w14:textFill>
        </w:rPr>
        <w:t>（供应商需明确具体年数）</w:t>
      </w:r>
    </w:p>
    <w:p w14:paraId="44F93E1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11FA23E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7938D35F">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73C0F482">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4EA989B4">
      <w:pPr>
        <w:spacing w:line="360" w:lineRule="auto"/>
        <w:rPr>
          <w:rFonts w:hint="eastAsia" w:ascii="宋体" w:hAnsi="宋体"/>
          <w:b/>
          <w:bCs/>
          <w:color w:val="000000" w:themeColor="text1"/>
          <w:sz w:val="24"/>
          <w:lang w:val="en-US" w:eastAsia="zh-CN"/>
          <w14:textFill>
            <w14:solidFill>
              <w14:schemeClr w14:val="tx1"/>
            </w14:solidFill>
          </w14:textFill>
        </w:rPr>
      </w:pPr>
    </w:p>
    <w:p w14:paraId="2D2EB560">
      <w:pPr>
        <w:spacing w:line="360" w:lineRule="auto"/>
        <w:rPr>
          <w:rFonts w:hint="eastAsia"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三、其他要求</w:t>
      </w:r>
    </w:p>
    <w:p w14:paraId="7A524238">
      <w:pPr>
        <w:numPr>
          <w:ilvl w:val="0"/>
          <w:numId w:val="0"/>
        </w:numPr>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投标人近三年内具有不少于1项</w:t>
      </w:r>
      <w:r>
        <w:rPr>
          <w:rFonts w:hint="eastAsia" w:ascii="宋体" w:hAnsi="宋体" w:cs="宋体"/>
          <w:color w:val="000000" w:themeColor="text1"/>
          <w:sz w:val="24"/>
          <w:lang w:val="en-US" w:eastAsia="zh-CN"/>
          <w14:textFill>
            <w14:solidFill>
              <w14:schemeClr w14:val="tx1"/>
            </w14:solidFill>
          </w14:textFill>
        </w:rPr>
        <w:t>所投</w:t>
      </w:r>
      <w:r>
        <w:rPr>
          <w:rFonts w:hint="default" w:ascii="宋体" w:hAnsi="宋体" w:cs="宋体"/>
          <w:color w:val="000000" w:themeColor="text1"/>
          <w:sz w:val="24"/>
          <w:lang w:val="en-US" w:eastAsia="zh-CN"/>
          <w14:textFill>
            <w14:solidFill>
              <w14:schemeClr w14:val="tx1"/>
            </w14:solidFill>
          </w14:textFill>
        </w:rPr>
        <w:t>产品（同品牌、同型号）的供货业绩。</w:t>
      </w:r>
    </w:p>
    <w:p w14:paraId="25774A6A">
      <w:pPr>
        <w:spacing w:line="360" w:lineRule="auto"/>
        <w:ind w:firstLine="240" w:firstLineChars="100"/>
        <w:rPr>
          <w:rFonts w:hint="default" w:ascii="宋体" w:hAnsi="宋体" w:cs="宋体"/>
          <w:color w:val="000000" w:themeColor="text1"/>
          <w:sz w:val="24"/>
          <w:lang w:val="en-US" w:eastAsia="zh-CN"/>
          <w14:textFill>
            <w14:solidFill>
              <w14:schemeClr w14:val="tx1"/>
            </w14:solidFill>
          </w14:textFill>
        </w:rPr>
      </w:pPr>
    </w:p>
    <w:p w14:paraId="52519B74">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10" w:name="_Toc2479"/>
      <w:bookmarkStart w:id="11"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3" w:name="_资格证明文件"/>
      <w:bookmarkEnd w:id="13"/>
      <w:bookmarkStart w:id="14" w:name="_Toc31029"/>
      <w:bookmarkStart w:id="15"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6" w:name="_Toc26111"/>
      <w:bookmarkStart w:id="17" w:name="_Toc4559"/>
      <w:bookmarkStart w:id="18" w:name="_Toc11890"/>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w:t>
      </w:r>
      <w:bookmarkStart w:id="71" w:name="_GoBack"/>
      <w:bookmarkEnd w:id="71"/>
      <w:r>
        <w:rPr>
          <w:rFonts w:hint="eastAsia" w:ascii="宋体" w:hAnsi="宋体"/>
          <w:color w:val="auto"/>
          <w:sz w:val="24"/>
        </w:rPr>
        <w:t>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9" w:name="_Toc19319"/>
      <w:bookmarkStart w:id="20" w:name="_Toc24403"/>
      <w:bookmarkStart w:id="21"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22" w:name="_Toc10542"/>
      <w:bookmarkStart w:id="23" w:name="_Toc1972"/>
    </w:p>
    <w:p w14:paraId="00D5E89F">
      <w:pPr>
        <w:pStyle w:val="4"/>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5" w:name="_Toc8953"/>
      <w:bookmarkStart w:id="26" w:name="_Toc32668"/>
      <w:bookmarkStart w:id="27" w:name="_Toc3172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8" w:name="_Toc1551"/>
      <w:bookmarkStart w:id="29" w:name="_Toc6843"/>
      <w:bookmarkStart w:id="30" w:name="_Toc2748"/>
      <w:r>
        <w:rPr>
          <w:rFonts w:hint="eastAsia" w:ascii="宋体" w:hAnsi="宋体" w:eastAsia="宋体" w:cs="宋体"/>
          <w:color w:val="auto"/>
          <w:kern w:val="0"/>
          <w:sz w:val="28"/>
          <w:szCs w:val="28"/>
          <w:highlight w:val="none"/>
          <w:lang w:val="en-US" w:eastAsia="zh-CN"/>
        </w:rPr>
        <w:t>产品资格</w:t>
      </w:r>
      <w:bookmarkEnd w:id="28"/>
      <w:bookmarkEnd w:id="29"/>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30"/>
    <w:p w14:paraId="5E0F17FF">
      <w:pPr>
        <w:pStyle w:val="4"/>
        <w:spacing w:before="0" w:after="0"/>
        <w:jc w:val="center"/>
        <w:rPr>
          <w:rFonts w:hint="default"/>
          <w:color w:val="auto"/>
          <w:sz w:val="28"/>
          <w:szCs w:val="36"/>
          <w:highlight w:val="none"/>
          <w:lang w:val="en-US" w:eastAsia="zh-CN"/>
        </w:rPr>
      </w:pPr>
      <w:bookmarkStart w:id="31" w:name="_Toc24684"/>
      <w:bookmarkStart w:id="32" w:name="_Toc28259"/>
      <w:bookmarkStart w:id="33"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31"/>
      <w:bookmarkEnd w:id="32"/>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3"/>
      <w:bookmarkStart w:id="34" w:name="_Toc28112"/>
      <w:bookmarkStart w:id="35" w:name="_Toc11219"/>
      <w:bookmarkStart w:id="36"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4"/>
      <w:bookmarkEnd w:id="35"/>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6"/>
    <w:p w14:paraId="1A578696">
      <w:pPr>
        <w:bidi w:val="0"/>
        <w:rPr>
          <w:rFonts w:hint="eastAsia"/>
          <w:lang w:eastAsia="zh-CN"/>
        </w:rPr>
      </w:pPr>
      <w:bookmarkStart w:id="37"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8"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7"/>
      <w:bookmarkEnd w:id="38"/>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9" w:name="_Toc29119"/>
      <w:r>
        <w:rPr>
          <w:rFonts w:hint="eastAsia"/>
          <w:color w:val="auto"/>
          <w:sz w:val="28"/>
          <w:highlight w:val="none"/>
        </w:rPr>
        <w:t>第二部分商务、技术文件</w:t>
      </w:r>
      <w:bookmarkEnd w:id="39"/>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40"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40"/>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41" w:name="_Toc320878673"/>
      <w:bookmarkStart w:id="42" w:name="_Toc304219290"/>
      <w:bookmarkStart w:id="43" w:name="_Toc337554757"/>
      <w:bookmarkStart w:id="44" w:name="_Toc349642274"/>
      <w:bookmarkStart w:id="45"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41"/>
      <w:bookmarkEnd w:id="42"/>
      <w:bookmarkEnd w:id="43"/>
      <w:bookmarkEnd w:id="44"/>
      <w:bookmarkEnd w:id="45"/>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6" w:name="_Toc30834"/>
      <w:bookmarkStart w:id="4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6"/>
      <w:bookmarkEnd w:id="47"/>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8"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8"/>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9" w:name="_Toc23117"/>
      <w:bookmarkStart w:id="50"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9"/>
      <w:bookmarkEnd w:id="50"/>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51" w:name="_Toc23816"/>
      <w:bookmarkStart w:id="52"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51"/>
      <w:bookmarkEnd w:id="52"/>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3" w:name="_Toc2922"/>
      <w:bookmarkStart w:id="54" w:name="_Toc4948"/>
      <w:bookmarkStart w:id="55" w:name="_Toc320878714"/>
      <w:bookmarkStart w:id="56" w:name="_Toc349642319"/>
      <w:bookmarkStart w:id="57" w:name="_Toc304219331"/>
      <w:bookmarkStart w:id="58" w:name="_Toc337554798"/>
      <w:bookmarkStart w:id="59" w:name="_Toc28583"/>
      <w:bookmarkStart w:id="60" w:name="_Toc337475928"/>
      <w:bookmarkStart w:id="61" w:name="_Toc29526"/>
      <w:bookmarkStart w:id="62" w:name="_Toc4599"/>
      <w:bookmarkStart w:id="63" w:name="_Toc10750"/>
      <w:bookmarkStart w:id="64" w:name="_Toc12801"/>
      <w:bookmarkStart w:id="65" w:name="_Toc30765"/>
      <w:bookmarkStart w:id="66" w:name="_Toc15867"/>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3"/>
      <w:bookmarkEnd w:id="54"/>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7" w:name="_Toc7716"/>
      <w:bookmarkStart w:id="68" w:name="_Toc8810"/>
      <w:r>
        <w:rPr>
          <w:rFonts w:hint="eastAsia"/>
          <w:sz w:val="28"/>
          <w:szCs w:val="28"/>
          <w:lang w:val="en-US" w:eastAsia="zh-CN"/>
        </w:rPr>
        <w:t>九、优惠承诺</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9" w:name="_Toc11154"/>
      <w:bookmarkStart w:id="70" w:name="_Toc17593"/>
      <w:r>
        <w:rPr>
          <w:rFonts w:hint="eastAsia" w:asciiTheme="minorHAnsi" w:hAnsiTheme="minorHAnsi" w:eastAsiaTheme="minorEastAsia" w:cstheme="minorBidi"/>
          <w:b/>
          <w:bCs/>
          <w:kern w:val="2"/>
          <w:sz w:val="28"/>
          <w:szCs w:val="28"/>
          <w:lang w:val="en-US" w:eastAsia="zh-CN" w:bidi="ar-SA"/>
        </w:rPr>
        <w:t>十、</w:t>
      </w:r>
      <w:bookmarkEnd w:id="69"/>
      <w:bookmarkEnd w:id="70"/>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5845"/>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002263"/>
    <w:rsid w:val="25175F4B"/>
    <w:rsid w:val="251903EC"/>
    <w:rsid w:val="25322951"/>
    <w:rsid w:val="254E2C98"/>
    <w:rsid w:val="259E4803"/>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7313B"/>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6ED18ED"/>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BF2665"/>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5D053A"/>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BD42B40"/>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A413E4"/>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5958</Words>
  <Characters>6343</Characters>
  <Lines>315</Lines>
  <Paragraphs>88</Paragraphs>
  <TotalTime>0</TotalTime>
  <ScaleCrop>false</ScaleCrop>
  <LinksUpToDate>false</LinksUpToDate>
  <CharactersWithSpaces>7243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2026-06-17T03:01:58Z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63607299184A442298A69BA46C410569_13</vt:lpwstr>
  </property>
  <property fmtid="{D5CDD505-2E9C-101B-9397-08002B2CF9AE}" pid="4" name="KSOTemplateDocerSaveRecord">
    <vt:lpwstr>eyJoZGlkIjoiMTUyMDA2ZjQ4N2YyNDAzZWJjY2U2NWNkZDY5ZDY4ZDAiLCJ1c2VySWQiOiIxNTkzMTM1MzcxIn0=</vt:lpwstr>
  </property>
</Properties>
</file>