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河南省胸科医院计算机、打印机等设备维保服务</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046</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河南省胸科医院计算机、打印机等设备维保服务 公开议价公告</w:t>
      </w:r>
    </w:p>
    <w:p w14:paraId="415F5D9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8C601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河南省胸科医院计算机、打印机等设备维保服务</w:t>
      </w:r>
      <w:r>
        <w:rPr>
          <w:rFonts w:hint="default" w:asciiTheme="minorEastAsia" w:hAnsiTheme="minorEastAsia" w:eastAsiaTheme="minorEastAsia" w:cstheme="minorEastAsia"/>
          <w:color w:val="333333"/>
          <w:sz w:val="24"/>
          <w:szCs w:val="24"/>
        </w:rPr>
        <w:t>。</w:t>
      </w:r>
    </w:p>
    <w:p w14:paraId="58C8A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1FF1D87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医院计算机、打印机等设备维保服务</w:t>
      </w:r>
      <w:r>
        <w:rPr>
          <w:rFonts w:hint="default" w:asciiTheme="minorEastAsia" w:hAnsiTheme="minorEastAsia" w:eastAsiaTheme="minorEastAsia" w:cstheme="minorEastAsia"/>
          <w:color w:val="333333"/>
          <w:sz w:val="24"/>
          <w:szCs w:val="24"/>
        </w:rPr>
        <w:t>。</w:t>
      </w:r>
    </w:p>
    <w:p w14:paraId="19E2127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EB77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40</w:t>
      </w:r>
      <w:r>
        <w:rPr>
          <w:rFonts w:hint="default" w:asciiTheme="minorEastAsia" w:hAnsiTheme="minorEastAsia" w:eastAsiaTheme="minorEastAsia" w:cstheme="minorEastAsia"/>
          <w:color w:val="333333"/>
          <w:sz w:val="24"/>
          <w:szCs w:val="24"/>
        </w:rPr>
        <w:t>万元。</w:t>
      </w:r>
    </w:p>
    <w:p w14:paraId="509755E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4A0DAA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71F81F7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E4B86E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55829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45B9AD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638E5FE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661982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7EA3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E64B4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0C11E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B73C1C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E8B4A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五、获取公开议</w:t>
      </w:r>
      <w:r>
        <w:rPr>
          <w:rFonts w:hint="default" w:asciiTheme="minorEastAsia" w:hAnsiTheme="minorEastAsia" w:eastAsiaTheme="minorEastAsia" w:cstheme="minorEastAsia"/>
          <w:color w:val="333333"/>
          <w:sz w:val="24"/>
          <w:szCs w:val="24"/>
          <w:highlight w:val="none"/>
        </w:rPr>
        <w:t>价文件</w:t>
      </w:r>
    </w:p>
    <w:p w14:paraId="43FBF4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7A60A7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EA65A0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76ADD6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E0B843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0B80CB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DFE1B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4E1C8D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8C55B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78A33B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128D5B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BA9024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AC57CF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E2D43A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385BCA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57F1286"/>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25F60680">
      <w:pPr>
        <w:numPr>
          <w:ilvl w:val="0"/>
          <w:numId w:val="2"/>
        </w:numPr>
        <w:spacing w:line="360" w:lineRule="auto"/>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技术要求（其中标★项为关键要求）</w:t>
      </w:r>
    </w:p>
    <w:p w14:paraId="2787509B">
      <w:pPr>
        <w:pStyle w:val="11"/>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1.项目概述与服务范围</w:t>
      </w:r>
    </w:p>
    <w:p w14:paraId="6D7F98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1.1项目目标：</w:t>
      </w:r>
    </w:p>
    <w:p w14:paraId="10E6FC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lang w:val="en-US" w:eastAsia="zh-CN"/>
        </w:rPr>
      </w:pPr>
      <w:r>
        <w:rPr>
          <w:rFonts w:hint="eastAsia" w:asciiTheme="minorEastAsia" w:hAnsiTheme="minorEastAsia" w:cstheme="minorEastAsia"/>
          <w:sz w:val="24"/>
          <w:szCs w:val="24"/>
          <w:lang w:val="en-US" w:eastAsia="zh-CN"/>
        </w:rPr>
        <w:t>为保障全院计算机、打印机、扫描仪等终端设备的稳定运行，通过采购常态化驻场维保服务，提高故障响应与处置效率，提升设备完好率。此次维保服务包含</w:t>
      </w:r>
      <w:r>
        <w:rPr>
          <w:rFonts w:hint="eastAsia" w:asciiTheme="minorEastAsia" w:hAnsiTheme="minorEastAsia" w:cstheme="minorEastAsia"/>
          <w:b/>
          <w:bCs/>
          <w:sz w:val="24"/>
          <w:szCs w:val="24"/>
          <w:lang w:val="en-US" w:eastAsia="zh-CN"/>
        </w:rPr>
        <w:t>3</w:t>
      </w:r>
      <w:r>
        <w:rPr>
          <w:rFonts w:hint="eastAsia" w:asciiTheme="minorEastAsia" w:hAnsiTheme="minorEastAsia" w:cstheme="minorEastAsia"/>
          <w:sz w:val="24"/>
          <w:szCs w:val="24"/>
          <w:lang w:val="en-US" w:eastAsia="zh-CN"/>
        </w:rPr>
        <w:t>名驻场技术人员对全院计算机、打印机等设备日常巡检与维修，以及维修所需原厂或同等质量配件的及时供应与更换。</w:t>
      </w:r>
    </w:p>
    <w:p w14:paraId="02FD2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1.2服务范围：</w:t>
      </w:r>
    </w:p>
    <w:p w14:paraId="73CA8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我院一院两区的台式计算机、一体机、笔记本电脑，以及A4黑白激光打印机、A4黑白激光多功能一体机、A4彩色激光打印机、A4彩色激光复印机、A4彩色喷墨打印机、票据打印机、条码打印机、扫描仪等设备，提供日常巡检、故障维修、相关配件、技术支持等常态化维保服务。服务内容涵盖故障维修及所需配件更换、各类易损配件供应，以及日常巡检工作。</w:t>
      </w:r>
    </w:p>
    <w:p w14:paraId="5785C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ascii="Segoe UI" w:hAnsi="Segoe UI" w:eastAsia="Segoe UI" w:cs="Segoe UI"/>
          <w:i w:val="0"/>
          <w:iCs w:val="0"/>
          <w:caps w:val="0"/>
          <w:color w:val="auto"/>
          <w:spacing w:val="0"/>
          <w:sz w:val="24"/>
          <w:szCs w:val="24"/>
          <w:shd w:val="clear" w:fill="FFFFFF"/>
        </w:rPr>
        <w:t>服务费用为全包价，包含服务期内所有维修所需配件（固态硬盘、内存、机械硬盘、鼠标、键盘除外）的供应与更换费用，</w:t>
      </w:r>
      <w:r>
        <w:rPr>
          <w:rFonts w:hint="eastAsia" w:ascii="Segoe UI" w:hAnsi="Segoe UI" w:eastAsia="宋体" w:cs="Segoe UI"/>
          <w:i w:val="0"/>
          <w:iCs w:val="0"/>
          <w:caps w:val="0"/>
          <w:color w:val="auto"/>
          <w:spacing w:val="0"/>
          <w:sz w:val="24"/>
          <w:szCs w:val="24"/>
          <w:shd w:val="clear" w:fill="FFFFFF"/>
          <w:lang w:val="en-US" w:eastAsia="zh-CN"/>
        </w:rPr>
        <w:t>需方</w:t>
      </w:r>
      <w:r>
        <w:rPr>
          <w:rFonts w:ascii="Segoe UI" w:hAnsi="Segoe UI" w:eastAsia="Segoe UI" w:cs="Segoe UI"/>
          <w:i w:val="0"/>
          <w:iCs w:val="0"/>
          <w:caps w:val="0"/>
          <w:color w:val="auto"/>
          <w:spacing w:val="0"/>
          <w:sz w:val="24"/>
          <w:szCs w:val="24"/>
          <w:shd w:val="clear" w:fill="FFFFFF"/>
        </w:rPr>
        <w:t>不另行支付。</w:t>
      </w:r>
    </w:p>
    <w:p w14:paraId="31ED34BB">
      <w:pPr>
        <w:pStyle w:val="11"/>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服务人员资质要求</w:t>
      </w:r>
    </w:p>
    <w:p w14:paraId="44187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★2.1驻场工程师（3名）</w:t>
      </w:r>
    </w:p>
    <w:p w14:paraId="53137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人员要求：须派驻全职驻场工程师在医院现场工作，不得兼职其他</w:t>
      </w:r>
      <w:r>
        <w:rPr>
          <w:rFonts w:hint="eastAsia" w:asciiTheme="minorEastAsia" w:hAnsiTheme="minorEastAsia" w:cstheme="minorEastAsia"/>
          <w:b w:val="0"/>
          <w:bCs w:val="0"/>
          <w:sz w:val="24"/>
          <w:szCs w:val="24"/>
          <w:lang w:val="en-US" w:eastAsia="zh-CN"/>
        </w:rPr>
        <w:t>单位服务</w:t>
      </w:r>
      <w:r>
        <w:rPr>
          <w:rFonts w:hint="eastAsia" w:asciiTheme="minorEastAsia" w:hAnsiTheme="minorEastAsia" w:cstheme="minorEastAsia"/>
          <w:sz w:val="24"/>
          <w:szCs w:val="24"/>
          <w:lang w:val="en-US" w:eastAsia="zh-CN"/>
        </w:rPr>
        <w:t>。驻场时间与医院作息时间保持一致，提供工作日（周一至周五 8:00-17:30周六8:00-12:00）3人同时在岗，周末及法定节假日7×24小时电话备勤，紧急情况2小时内到场。</w:t>
      </w:r>
      <w:r>
        <w:rPr>
          <w:rFonts w:ascii="Segoe UI" w:hAnsi="Segoe UI" w:eastAsia="Segoe UI" w:cs="Segoe UI"/>
          <w:i w:val="0"/>
          <w:iCs w:val="0"/>
          <w:caps w:val="0"/>
          <w:color w:val="0F1115"/>
          <w:spacing w:val="0"/>
          <w:sz w:val="24"/>
          <w:szCs w:val="24"/>
          <w:shd w:val="clear" w:fill="FFFFFF"/>
        </w:rPr>
        <w:t>驻场人员须接受医院日常考勤管理，缺勤、迟到按考核条款执行。</w:t>
      </w:r>
    </w:p>
    <w:p w14:paraId="5B539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2.2职责分工</w:t>
      </w:r>
    </w:p>
    <w:p w14:paraId="19D92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驻场组长1名 ：统筹维保工作，负责设备巡检与故障维修。</w:t>
      </w:r>
    </w:p>
    <w:p w14:paraId="429F3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驻场工程师 2名：负责设备巡检与故障维修。严格遵守医院管理相关规定，服从驻场组长的工作调度，协助完成配件库存整理、维保数据统计等日常工作，按要求提交巡检、维修记录并及时归档，主动配合医院完成各类信息化保障专项工作。</w:t>
      </w:r>
    </w:p>
    <w:p w14:paraId="4304EB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trike w:val="0"/>
          <w:sz w:val="24"/>
          <w:szCs w:val="24"/>
        </w:rPr>
      </w:pPr>
      <w:r>
        <w:rPr>
          <w:rFonts w:hint="eastAsia" w:ascii="宋体" w:hAnsi="宋体" w:eastAsia="宋体" w:cs="宋体"/>
          <w:b/>
          <w:sz w:val="24"/>
          <w:szCs w:val="24"/>
          <w:lang w:val="en-US" w:eastAsia="zh-CN"/>
        </w:rPr>
        <w:t>★2.3 资历要求：</w:t>
      </w:r>
      <w:r>
        <w:rPr>
          <w:rFonts w:hint="eastAsia" w:asciiTheme="minorEastAsia" w:hAnsiTheme="minorEastAsia" w:cstheme="minorEastAsia"/>
          <w:sz w:val="24"/>
          <w:szCs w:val="24"/>
          <w:lang w:val="en-US" w:eastAsia="zh-CN"/>
        </w:rPr>
        <w:t>要求驻场工程师具有计算机、电子、通信、自动化等相关专业大专及以上学历；同时具有3年以上外设（计算机/打印机/扫描仪）硬件维修经验。驻场组长须额外具备1年以上团队管理或项目协调经验。供方不得擅自更换人员，如需更换须提前15天书面申请</w:t>
      </w:r>
      <w:r>
        <w:rPr>
          <w:rFonts w:hint="eastAsia" w:ascii="宋体" w:hAnsi="宋体" w:eastAsia="宋体" w:cs="宋体"/>
          <w:sz w:val="24"/>
          <w:szCs w:val="24"/>
          <w:lang w:val="en-US" w:eastAsia="zh-CN"/>
        </w:rPr>
        <w:t>并征得院方同意</w:t>
      </w:r>
      <w:r>
        <w:rPr>
          <w:rFonts w:hint="eastAsia" w:asciiTheme="minorEastAsia" w:hAnsiTheme="minorEastAsia" w:eastAsiaTheme="minorEastAsia" w:cstheme="minorEastAsia"/>
          <w:strike w:val="0"/>
          <w:sz w:val="24"/>
          <w:szCs w:val="24"/>
          <w:lang w:val="en-US" w:eastAsia="zh-CN"/>
        </w:rPr>
        <w:t>，</w:t>
      </w:r>
      <w:r>
        <w:rPr>
          <w:rFonts w:hint="eastAsia" w:asciiTheme="minorEastAsia" w:hAnsiTheme="minorEastAsia" w:eastAsiaTheme="minorEastAsia" w:cstheme="minorEastAsia"/>
          <w:strike w:val="0"/>
          <w:kern w:val="2"/>
          <w:sz w:val="24"/>
          <w:szCs w:val="24"/>
          <w:lang w:val="en-US" w:eastAsia="zh-CN" w:bidi="ar-SA"/>
        </w:rPr>
        <w:t>且新进人员须</w:t>
      </w:r>
      <w:r>
        <w:rPr>
          <w:rFonts w:hint="eastAsia" w:asciiTheme="minorEastAsia" w:hAnsiTheme="minorEastAsia" w:cstheme="minorEastAsia"/>
          <w:strike w:val="0"/>
          <w:kern w:val="2"/>
          <w:sz w:val="24"/>
          <w:szCs w:val="24"/>
          <w:lang w:val="en-US" w:eastAsia="zh-CN" w:bidi="ar-SA"/>
        </w:rPr>
        <w:t>符合驻场工程师标准</w:t>
      </w:r>
      <w:r>
        <w:rPr>
          <w:rFonts w:hint="eastAsia" w:asciiTheme="minorEastAsia" w:hAnsiTheme="minorEastAsia" w:cstheme="minorEastAsia"/>
          <w:strike w:val="0"/>
          <w:sz w:val="24"/>
          <w:szCs w:val="24"/>
          <w:lang w:val="en-US" w:eastAsia="zh-CN"/>
        </w:rPr>
        <w:t>。</w:t>
      </w:r>
    </w:p>
    <w:p w14:paraId="323D1992">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服务内容与要求</w:t>
      </w:r>
    </w:p>
    <w:p w14:paraId="53519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3.1日常巡检与文档管理</w:t>
      </w:r>
    </w:p>
    <w:p w14:paraId="21EFAE0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巡检频率及内容：每月对全院设备进行一次全覆盖巡检，巡检内容包括：设备外观及物理状态检查；运行状态（有无异常</w:t>
      </w:r>
      <w:r>
        <w:rPr>
          <w:rFonts w:hint="eastAsia" w:asciiTheme="minorEastAsia" w:hAnsiTheme="minorEastAsia" w:cstheme="minorEastAsia"/>
          <w:kern w:val="2"/>
          <w:sz w:val="24"/>
          <w:szCs w:val="24"/>
          <w:lang w:val="en-US" w:eastAsia="zh-CN" w:bidi="ar-SA"/>
        </w:rPr>
        <w:t>噪声</w:t>
      </w:r>
      <w:r>
        <w:rPr>
          <w:rFonts w:hint="eastAsia" w:asciiTheme="minorEastAsia" w:hAnsiTheme="minorEastAsia" w:eastAsiaTheme="minorEastAsia" w:cstheme="minorEastAsia"/>
          <w:kern w:val="2"/>
          <w:sz w:val="24"/>
          <w:szCs w:val="24"/>
          <w:lang w:val="en-US" w:eastAsia="zh-CN" w:bidi="ar-SA"/>
        </w:rPr>
        <w:t>、过热、卡纸等）；连接线缆完整性；散热口清洁度；系统日志及驱动状态。</w:t>
      </w:r>
    </w:p>
    <w:p w14:paraId="38D3C35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巡检报告：每</w:t>
      </w:r>
      <w:r>
        <w:rPr>
          <w:rFonts w:hint="eastAsia" w:asciiTheme="minorEastAsia" w:hAnsiTheme="minorEastAsia" w:cstheme="minorEastAsia"/>
          <w:kern w:val="2"/>
          <w:sz w:val="24"/>
          <w:szCs w:val="24"/>
          <w:lang w:val="en-US" w:eastAsia="zh-CN" w:bidi="ar-SA"/>
        </w:rPr>
        <w:t>季度（次月10日前）</w:t>
      </w:r>
      <w:r>
        <w:rPr>
          <w:rFonts w:hint="eastAsia" w:asciiTheme="minorEastAsia" w:hAnsiTheme="minorEastAsia" w:eastAsiaTheme="minorEastAsia" w:cstheme="minorEastAsia"/>
          <w:kern w:val="2"/>
          <w:sz w:val="24"/>
          <w:szCs w:val="24"/>
          <w:lang w:val="en-US" w:eastAsia="zh-CN" w:bidi="ar-SA"/>
        </w:rPr>
        <w:t>前向信息中心提交《月度巡检与维护报告》，内容包括：巡检覆盖统计（按院区、科室）发现的问题及处理情况、配件更换清单、隐患预警与改进建议。</w:t>
      </w:r>
    </w:p>
    <w:p w14:paraId="1C8D3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★3.2故障响应与应急处置</w:t>
      </w:r>
    </w:p>
    <w:p w14:paraId="610C5B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响应时效：工作日≤15分钟到达现场；非工作日≤</w:t>
      </w:r>
      <w:r>
        <w:rPr>
          <w:rFonts w:hint="eastAsia" w:asciiTheme="minorEastAsia" w:hAnsiTheme="minorEastAsia" w:cstheme="minorEastAsia"/>
          <w:kern w:val="2"/>
          <w:sz w:val="24"/>
          <w:szCs w:val="24"/>
          <w:lang w:val="en-US" w:eastAsia="zh-CN" w:bidi="ar-SA"/>
        </w:rPr>
        <w:t>30分钟</w:t>
      </w:r>
      <w:r>
        <w:rPr>
          <w:rFonts w:hint="eastAsia" w:asciiTheme="minorEastAsia" w:hAnsiTheme="minorEastAsia" w:eastAsiaTheme="minorEastAsia" w:cstheme="minorEastAsia"/>
          <w:kern w:val="2"/>
          <w:sz w:val="24"/>
          <w:szCs w:val="24"/>
          <w:lang w:val="en-US" w:eastAsia="zh-CN" w:bidi="ar-SA"/>
        </w:rPr>
        <w:t>到达现场。一般故障修复时限 ≤2小时，复杂故障修复时限 ≤24小时，若维修时间超过24小时，须提供备用设备替代。</w:t>
      </w:r>
    </w:p>
    <w:p w14:paraId="5283703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所有报修须统一通过我院信息中心受理。更换配件前，须向科室说明故障原因及更换必要性，经信息中心同意后方可进行更换操作。</w:t>
      </w:r>
      <w:r>
        <w:rPr>
          <w:rFonts w:hint="eastAsia" w:asciiTheme="minorEastAsia" w:hAnsiTheme="minorEastAsia" w:eastAsiaTheme="minorEastAsia" w:cstheme="minorEastAsia"/>
          <w:color w:val="auto"/>
          <w:kern w:val="2"/>
          <w:sz w:val="24"/>
          <w:szCs w:val="24"/>
          <w:lang w:val="en-US" w:eastAsia="zh-CN" w:bidi="ar-SA"/>
        </w:rPr>
        <w:t>并于每月10日前将含有维修时间、产品、品牌、型号的维修记录单，经科室使用人签字确认后提交至信息中心。</w:t>
      </w:r>
    </w:p>
    <w:p w14:paraId="3EFB9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b/>
          <w:sz w:val="24"/>
          <w:szCs w:val="24"/>
          <w:lang w:val="en-US" w:eastAsia="zh-CN"/>
        </w:rPr>
        <w:t>★3.3配件范围：</w:t>
      </w:r>
      <w:r>
        <w:rPr>
          <w:rFonts w:hint="eastAsia" w:asciiTheme="minorEastAsia" w:hAnsiTheme="minorEastAsia" w:cstheme="minorEastAsia"/>
          <w:b/>
          <w:bCs/>
          <w:kern w:val="2"/>
          <w:sz w:val="24"/>
          <w:szCs w:val="24"/>
          <w:lang w:val="en-US" w:eastAsia="zh-CN" w:bidi="ar-SA"/>
        </w:rPr>
        <w:t>计算机、打印机、扫描仪、显示屏的所有配件（固态硬盘、内存、机械硬盘、鼠标、键盘除外）。所更换配件须为原厂正品或同等质量产品，技术参数及指标不得低于原设备配置标准。</w:t>
      </w:r>
    </w:p>
    <w:p w14:paraId="4D25F7A8">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考核条款</w:t>
      </w:r>
    </w:p>
    <w:p w14:paraId="0B5E162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服务考核：设立</w:t>
      </w:r>
      <w:r>
        <w:rPr>
          <w:rFonts w:hint="eastAsia" w:asciiTheme="minorEastAsia" w:hAnsiTheme="minorEastAsia" w:cstheme="minorEastAsia"/>
          <w:kern w:val="2"/>
          <w:sz w:val="24"/>
          <w:szCs w:val="24"/>
          <w:lang w:val="en-US" w:eastAsia="zh-CN" w:bidi="ar-SA"/>
        </w:rPr>
        <w:t>季</w:t>
      </w:r>
      <w:r>
        <w:rPr>
          <w:rFonts w:hint="eastAsia" w:asciiTheme="minorEastAsia" w:hAnsiTheme="minorEastAsia" w:eastAsiaTheme="minorEastAsia" w:cstheme="minorEastAsia"/>
          <w:kern w:val="2"/>
          <w:sz w:val="24"/>
          <w:szCs w:val="24"/>
          <w:lang w:val="en-US" w:eastAsia="zh-CN" w:bidi="ar-SA"/>
        </w:rPr>
        <w:t>度考核机制（满分100分），与付款方式挂钩。</w:t>
      </w:r>
    </w:p>
    <w:p w14:paraId="725E635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人员配置不达标工程师</w:t>
      </w:r>
      <w:r>
        <w:rPr>
          <w:rFonts w:hint="eastAsia" w:asciiTheme="minorEastAsia" w:hAnsiTheme="minorEastAsia" w:cstheme="minorEastAsia"/>
          <w:kern w:val="2"/>
          <w:sz w:val="24"/>
          <w:szCs w:val="24"/>
          <w:lang w:val="en-US" w:eastAsia="zh-CN" w:bidi="ar-SA"/>
        </w:rPr>
        <w:t>未经允许擅自离岗、</w:t>
      </w:r>
      <w:r>
        <w:rPr>
          <w:rFonts w:hint="eastAsia" w:asciiTheme="minorEastAsia" w:hAnsiTheme="minorEastAsia" w:eastAsiaTheme="minorEastAsia" w:cstheme="minorEastAsia"/>
          <w:kern w:val="2"/>
          <w:sz w:val="24"/>
          <w:szCs w:val="24"/>
          <w:lang w:val="en-US" w:eastAsia="zh-CN" w:bidi="ar-SA"/>
        </w:rPr>
        <w:t>空岗</w:t>
      </w:r>
      <w:r>
        <w:rPr>
          <w:rFonts w:hint="eastAsia" w:asciiTheme="minorEastAsia" w:hAnsiTheme="minorEastAsia" w:cstheme="minorEastAsia"/>
          <w:kern w:val="2"/>
          <w:sz w:val="24"/>
          <w:szCs w:val="24"/>
          <w:lang w:val="en-US" w:eastAsia="zh-CN" w:bidi="ar-SA"/>
        </w:rPr>
        <w:t>；违反医院其他制度</w:t>
      </w:r>
      <w:r>
        <w:rPr>
          <w:rFonts w:hint="eastAsia" w:asciiTheme="minorEastAsia" w:hAnsiTheme="minorEastAsia" w:eastAsiaTheme="minorEastAsia" w:cstheme="minorEastAsia"/>
          <w:kern w:val="2"/>
          <w:sz w:val="24"/>
          <w:szCs w:val="24"/>
          <w:lang w:val="en-US" w:eastAsia="zh-CN" w:bidi="ar-SA"/>
        </w:rPr>
        <w:t>：每次扣5分。</w:t>
      </w:r>
    </w:p>
    <w:p w14:paraId="300B017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因运维不当导致</w:t>
      </w:r>
      <w:r>
        <w:rPr>
          <w:rFonts w:hint="eastAsia" w:asciiTheme="minorEastAsia" w:hAnsiTheme="minorEastAsia" w:cstheme="minorEastAsia"/>
          <w:kern w:val="2"/>
          <w:sz w:val="24"/>
          <w:szCs w:val="24"/>
          <w:lang w:val="en-US" w:eastAsia="zh-CN" w:bidi="ar-SA"/>
        </w:rPr>
        <w:t>设备损坏，须提供可使用的相同品牌型号设备</w:t>
      </w:r>
      <w:r>
        <w:rPr>
          <w:rFonts w:hint="eastAsia" w:asciiTheme="minorEastAsia" w:hAnsiTheme="minorEastAsia" w:eastAsiaTheme="minorEastAsia" w:cstheme="minorEastAsia"/>
          <w:kern w:val="2"/>
          <w:sz w:val="24"/>
          <w:szCs w:val="24"/>
          <w:lang w:val="en-US" w:eastAsia="zh-CN" w:bidi="ar-SA"/>
        </w:rPr>
        <w:t>：每次扣10分。</w:t>
      </w:r>
    </w:p>
    <w:p w14:paraId="606A32A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trike w:val="0"/>
          <w:kern w:val="2"/>
          <w:sz w:val="24"/>
          <w:szCs w:val="24"/>
          <w:lang w:val="en-US" w:eastAsia="zh-CN" w:bidi="ar-SA"/>
        </w:rPr>
      </w:pPr>
      <w:r>
        <w:rPr>
          <w:rFonts w:hint="eastAsia" w:asciiTheme="minorEastAsia" w:hAnsiTheme="minorEastAsia" w:cstheme="minorEastAsia"/>
          <w:strike w:val="0"/>
          <w:kern w:val="2"/>
          <w:sz w:val="24"/>
          <w:szCs w:val="24"/>
          <w:lang w:val="en-US" w:eastAsia="zh-CN" w:bidi="ar-SA"/>
        </w:rPr>
        <w:t>接到使用科室投诉，每次扣5分。</w:t>
      </w:r>
    </w:p>
    <w:p w14:paraId="089C66D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季度考核得分低于80分的，须在10个工作日内提交书面整改方案并完成整改；连续两个季度考核得分低于80分，</w:t>
      </w:r>
      <w:r>
        <w:rPr>
          <w:rFonts w:hint="eastAsia" w:asciiTheme="minorEastAsia" w:hAnsiTheme="minorEastAsia" w:cstheme="minorEastAsia"/>
          <w:kern w:val="2"/>
          <w:sz w:val="24"/>
          <w:szCs w:val="24"/>
          <w:lang w:val="en-US" w:eastAsia="zh-CN" w:bidi="ar-SA"/>
        </w:rPr>
        <w:t>需方</w:t>
      </w:r>
      <w:r>
        <w:rPr>
          <w:rFonts w:hint="eastAsia" w:asciiTheme="minorEastAsia" w:hAnsiTheme="minorEastAsia" w:eastAsiaTheme="minorEastAsia" w:cstheme="minorEastAsia"/>
          <w:kern w:val="2"/>
          <w:sz w:val="24"/>
          <w:szCs w:val="24"/>
          <w:lang w:val="en-US" w:eastAsia="zh-CN" w:bidi="ar-SA"/>
        </w:rPr>
        <w:t>有权单方面解除合同。</w:t>
      </w:r>
    </w:p>
    <w:p w14:paraId="5593D27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供方</w:t>
      </w:r>
      <w:r>
        <w:rPr>
          <w:rFonts w:hint="eastAsia" w:ascii="宋体" w:hAnsi="宋体" w:eastAsia="宋体" w:cs="宋体"/>
          <w:b/>
          <w:bCs/>
          <w:sz w:val="24"/>
          <w:szCs w:val="24"/>
        </w:rPr>
        <w:t>责任：</w:t>
      </w:r>
      <w:r>
        <w:rPr>
          <w:rFonts w:hint="eastAsia" w:ascii="宋体" w:hAnsi="宋体" w:eastAsia="宋体" w:cs="宋体"/>
          <w:sz w:val="24"/>
          <w:szCs w:val="24"/>
        </w:rPr>
        <w:t xml:space="preserve"> </w:t>
      </w:r>
    </w:p>
    <w:p w14:paraId="2089C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lang w:eastAsia="zh-CN"/>
        </w:rPr>
        <w:t>供方</w:t>
      </w:r>
      <w:r>
        <w:rPr>
          <w:rFonts w:hint="eastAsia" w:ascii="宋体" w:hAnsi="宋体" w:eastAsia="宋体" w:cs="宋体"/>
          <w:sz w:val="24"/>
          <w:szCs w:val="24"/>
        </w:rPr>
        <w:t>提供服务不符合合同约定，负责返工或提供补救措施。</w:t>
      </w:r>
    </w:p>
    <w:p w14:paraId="7B5AA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5.2供方未按照合同约定完成定期巡检服务并及时提交巡检记录，每出现一次，视为该段时间未完成巡检，需方扣除</w:t>
      </w:r>
      <w:bookmarkStart w:id="1" w:name="OLE_LINK7"/>
      <w:r>
        <w:rPr>
          <w:rFonts w:hint="eastAsia" w:ascii="宋体" w:hAnsi="宋体" w:eastAsia="宋体" w:cs="宋体"/>
          <w:sz w:val="24"/>
          <w:szCs w:val="24"/>
          <w:lang w:val="en-US" w:eastAsia="zh-CN"/>
        </w:rPr>
        <w:t>当季应付款</w:t>
      </w:r>
      <w:bookmarkEnd w:id="1"/>
      <w:r>
        <w:rPr>
          <w:rFonts w:hint="eastAsia" w:ascii="宋体" w:hAnsi="宋体" w:eastAsia="宋体" w:cs="宋体"/>
          <w:sz w:val="24"/>
          <w:szCs w:val="24"/>
          <w:lang w:val="en-US" w:eastAsia="zh-CN"/>
        </w:rPr>
        <w:t xml:space="preserve">的10%。   </w:t>
      </w:r>
    </w:p>
    <w:p w14:paraId="71A10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5.3供方未在规定时间内（3.2（1）约定）完成呼叫响应服务，需方每次扣除当季应付款的</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千</w:t>
      </w:r>
      <w:r>
        <w:rPr>
          <w:rFonts w:hint="eastAsia" w:ascii="宋体" w:hAnsi="宋体" w:eastAsia="宋体" w:cs="宋体"/>
          <w:color w:val="auto"/>
          <w:sz w:val="24"/>
          <w:szCs w:val="24"/>
          <w:lang w:val="en-US" w:eastAsia="zh-CN"/>
        </w:rPr>
        <w:t>分之五）。</w:t>
      </w:r>
    </w:p>
    <w:p w14:paraId="65168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lang w:eastAsia="zh-CN"/>
        </w:rPr>
        <w:t>供方</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要求的工作时间提供驻场服务的，</w:t>
      </w:r>
      <w:r>
        <w:rPr>
          <w:rFonts w:hint="eastAsia" w:ascii="宋体" w:hAnsi="宋体" w:eastAsia="宋体" w:cs="宋体"/>
          <w:color w:val="auto"/>
          <w:sz w:val="24"/>
          <w:szCs w:val="24"/>
          <w:lang w:val="en-US" w:eastAsia="zh-CN"/>
        </w:rPr>
        <w:t>需方每次扣除当季应付款的10%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百分之十</w:t>
      </w:r>
      <w:r>
        <w:rPr>
          <w:rFonts w:hint="eastAsia" w:ascii="宋体" w:hAnsi="宋体" w:eastAsia="宋体" w:cs="宋体"/>
          <w:color w:val="auto"/>
          <w:sz w:val="24"/>
          <w:szCs w:val="24"/>
        </w:rPr>
        <w:t>）。</w:t>
      </w:r>
    </w:p>
    <w:p w14:paraId="477FC941">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二、商务要求</w:t>
      </w:r>
    </w:p>
    <w:p w14:paraId="23AAB2C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4"/>
          <w:szCs w:val="24"/>
        </w:rPr>
      </w:pPr>
      <w:r>
        <w:rPr>
          <w:rFonts w:hint="eastAsia" w:ascii="宋体" w:hAnsi="宋体" w:eastAsia="宋体" w:cs="宋体"/>
          <w:b/>
          <w:bCs/>
          <w:color w:val="000000"/>
          <w:kern w:val="44"/>
          <w:sz w:val="24"/>
          <w:szCs w:val="24"/>
          <w:lang w:eastAsia="zh-CN"/>
        </w:rPr>
        <w:t>1.</w:t>
      </w:r>
      <w:r>
        <w:rPr>
          <w:rFonts w:hint="eastAsia" w:ascii="宋体" w:hAnsi="宋体" w:eastAsia="宋体" w:cs="宋体"/>
          <w:b/>
          <w:sz w:val="24"/>
          <w:szCs w:val="24"/>
        </w:rPr>
        <w:t>特定资格：无。</w:t>
      </w:r>
    </w:p>
    <w:p w14:paraId="45A2FA8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2.服务</w:t>
      </w:r>
      <w:r>
        <w:rPr>
          <w:rFonts w:hint="eastAsia" w:ascii="宋体" w:hAnsi="宋体" w:eastAsia="宋体" w:cs="宋体"/>
          <w:b/>
          <w:sz w:val="24"/>
          <w:szCs w:val="24"/>
        </w:rPr>
        <w:t>期限：</w:t>
      </w:r>
      <w:r>
        <w:rPr>
          <w:rFonts w:hint="eastAsia" w:ascii="宋体" w:hAnsi="宋体" w:eastAsia="宋体" w:cs="宋体"/>
          <w:b/>
          <w:sz w:val="24"/>
          <w:szCs w:val="24"/>
          <w:lang w:val="en-US" w:eastAsia="zh-CN"/>
        </w:rPr>
        <w:t>合同签订之日起，服务期壹年。</w:t>
      </w:r>
    </w:p>
    <w:p w14:paraId="36FC388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付款方式：</w:t>
      </w:r>
    </w:p>
    <w:p w14:paraId="6DEBF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按季度支付服务费。双方签订合同后，如供方服务符合合同要求，确认合同条款及服务承诺、维修、巡检等执行无误，收到供方开具的国家正规发票后，需方予以支付当季度服务费。支付金额与考核得分挂钩（得分≥90分全额支付；80—89分支付95%；低于80分根据整改情况最高支付90%）。</w:t>
      </w:r>
      <w:r>
        <w:rPr>
          <w:rFonts w:hint="eastAsia" w:asciiTheme="minorEastAsia" w:hAnsiTheme="minorEastAsia" w:cstheme="minorEastAsia"/>
          <w:color w:val="FF0000"/>
          <w:sz w:val="24"/>
          <w:szCs w:val="24"/>
          <w:lang w:val="en-US" w:eastAsia="zh-CN"/>
        </w:rPr>
        <w:t>附件1《考核评分表》</w:t>
      </w:r>
    </w:p>
    <w:p w14:paraId="6B7C0E1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4.人员要求：</w:t>
      </w:r>
    </w:p>
    <w:p w14:paraId="3268C5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须派驻3名全职驻场工程师在医院现场工作。须提供驻场工程师的学历证书复印件（原件备查）及为其缴纳的近3个月社保缴纳证明进行查验，且与合同签订驻场人员一致。如所配备人员不符合要求，需方有权要求供方5个工作日内更换，并承担由此造成的相关损失。</w:t>
      </w:r>
    </w:p>
    <w:p w14:paraId="1BB313C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ascii="宋体" w:hAnsi="宋体" w:eastAsia="宋体" w:cs="宋体"/>
          <w:b/>
          <w:bCs/>
          <w:sz w:val="24"/>
          <w:szCs w:val="24"/>
          <w:lang w:val="en-US" w:eastAsia="zh-CN"/>
        </w:rPr>
        <w:t>5.报价要求</w:t>
      </w:r>
    </w:p>
    <w:p w14:paraId="0D070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本项目投标报价应包括：项目内的服务和配件费用，需方不再支付其他的任何费用。</w:t>
      </w:r>
    </w:p>
    <w:p w14:paraId="028E00FF">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三、业绩要求</w:t>
      </w:r>
    </w:p>
    <w:p w14:paraId="365A0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供方近三年内不少于1项的类似业绩。</w:t>
      </w:r>
    </w:p>
    <w:p w14:paraId="227A9B5D">
      <w:pPr>
        <w:numPr>
          <w:ilvl w:val="0"/>
          <w:numId w:val="0"/>
        </w:numPr>
        <w:spacing w:line="360" w:lineRule="auto"/>
        <w:ind w:left="400" w:leftChars="0"/>
        <w:rPr>
          <w:rFonts w:hint="eastAsia"/>
          <w:lang w:val="en-US" w:eastAsia="zh-CN"/>
        </w:rPr>
      </w:pPr>
      <w:r>
        <w:rPr>
          <w:rFonts w:hint="eastAsia" w:asciiTheme="minorEastAsia" w:hAnsiTheme="minorEastAsia" w:eastAsiaTheme="minorEastAsia"/>
          <w:spacing w:val="10"/>
          <w:kern w:val="0"/>
          <w:sz w:val="24"/>
          <w:szCs w:val="24"/>
        </w:rPr>
        <w:t>附件</w:t>
      </w:r>
      <w:r>
        <w:rPr>
          <w:rFonts w:hint="eastAsia" w:asciiTheme="minorEastAsia" w:hAnsiTheme="minorEastAsia" w:eastAsiaTheme="minorEastAsia"/>
          <w:spacing w:val="10"/>
          <w:kern w:val="0"/>
          <w:sz w:val="24"/>
          <w:szCs w:val="24"/>
          <w:lang w:val="en-US" w:eastAsia="zh-CN"/>
        </w:rPr>
        <w:t xml:space="preserve">1 </w:t>
      </w:r>
      <w:r>
        <w:rPr>
          <w:rFonts w:hint="eastAsia" w:asciiTheme="minorEastAsia" w:hAnsiTheme="minorEastAsia" w:eastAsiaTheme="minorEastAsia"/>
          <w:b w:val="0"/>
          <w:sz w:val="24"/>
          <w:szCs w:val="24"/>
          <w:lang w:val="en-US" w:eastAsia="zh-CN"/>
        </w:rPr>
        <w:t>考核评分表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779"/>
        <w:gridCol w:w="1420"/>
        <w:gridCol w:w="1420"/>
        <w:gridCol w:w="1887"/>
        <w:gridCol w:w="955"/>
      </w:tblGrid>
      <w:tr w14:paraId="6B3B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2" w:type="dxa"/>
            <w:vAlign w:val="center"/>
          </w:tcPr>
          <w:p w14:paraId="1469465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年/月</w:t>
            </w:r>
          </w:p>
        </w:tc>
        <w:tc>
          <w:tcPr>
            <w:tcW w:w="1780" w:type="dxa"/>
            <w:vAlign w:val="center"/>
          </w:tcPr>
          <w:p w14:paraId="671A31F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人员配置不达标（次）</w:t>
            </w:r>
          </w:p>
        </w:tc>
        <w:tc>
          <w:tcPr>
            <w:tcW w:w="1421" w:type="dxa"/>
            <w:vAlign w:val="center"/>
          </w:tcPr>
          <w:p w14:paraId="6474A23D">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故障处理超时</w:t>
            </w:r>
            <w:r>
              <w:rPr>
                <w:rFonts w:hint="eastAsia" w:asciiTheme="minorEastAsia" w:hAnsiTheme="minorEastAsia" w:eastAsiaTheme="minorEastAsia" w:cstheme="minorEastAsia"/>
                <w:sz w:val="24"/>
                <w:szCs w:val="24"/>
                <w:vertAlign w:val="baseline"/>
                <w:lang w:val="en-US" w:eastAsia="zh-CN"/>
              </w:rPr>
              <w:t>（次）</w:t>
            </w:r>
          </w:p>
        </w:tc>
        <w:tc>
          <w:tcPr>
            <w:tcW w:w="1421" w:type="dxa"/>
            <w:vAlign w:val="center"/>
          </w:tcPr>
          <w:p w14:paraId="003841B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因运维不当导致业务中断</w:t>
            </w:r>
            <w:r>
              <w:rPr>
                <w:rFonts w:hint="eastAsia" w:asciiTheme="minorEastAsia" w:hAnsiTheme="minorEastAsia" w:eastAsiaTheme="minorEastAsia" w:cstheme="minorEastAsia"/>
                <w:sz w:val="24"/>
                <w:szCs w:val="24"/>
                <w:vertAlign w:val="baseline"/>
                <w:lang w:val="en-US" w:eastAsia="zh-CN"/>
              </w:rPr>
              <w:t>（次）</w:t>
            </w:r>
          </w:p>
        </w:tc>
        <w:tc>
          <w:tcPr>
            <w:tcW w:w="1888" w:type="dxa"/>
            <w:vAlign w:val="center"/>
          </w:tcPr>
          <w:p w14:paraId="691156EA">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文档缺失或不符</w:t>
            </w:r>
            <w:r>
              <w:rPr>
                <w:rFonts w:hint="eastAsia" w:asciiTheme="minorEastAsia" w:hAnsiTheme="minorEastAsia" w:eastAsiaTheme="minorEastAsia" w:cstheme="minorEastAsia"/>
                <w:sz w:val="24"/>
                <w:szCs w:val="24"/>
                <w:vertAlign w:val="baseline"/>
                <w:lang w:val="en-US" w:eastAsia="zh-CN"/>
              </w:rPr>
              <w:t>（次）</w:t>
            </w:r>
          </w:p>
        </w:tc>
        <w:tc>
          <w:tcPr>
            <w:tcW w:w="956" w:type="dxa"/>
            <w:vAlign w:val="center"/>
          </w:tcPr>
          <w:p w14:paraId="08ACA1A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总分</w:t>
            </w:r>
          </w:p>
        </w:tc>
      </w:tr>
      <w:tr w14:paraId="53C9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62" w:type="dxa"/>
            <w:vAlign w:val="center"/>
          </w:tcPr>
          <w:p w14:paraId="01F7980A">
            <w:pPr>
              <w:numPr>
                <w:ilvl w:val="0"/>
                <w:numId w:val="0"/>
              </w:numPr>
              <w:spacing w:line="360" w:lineRule="auto"/>
              <w:ind w:left="0" w:leftChars="0" w:firstLine="400" w:firstLineChars="0"/>
              <w:jc w:val="both"/>
              <w:rPr>
                <w:rFonts w:hint="eastAsia"/>
                <w:vertAlign w:val="baseline"/>
                <w:lang w:val="en-US" w:eastAsia="zh-CN"/>
              </w:rPr>
            </w:pPr>
          </w:p>
        </w:tc>
        <w:tc>
          <w:tcPr>
            <w:tcW w:w="1780" w:type="dxa"/>
            <w:vAlign w:val="center"/>
          </w:tcPr>
          <w:p w14:paraId="60BB5CBA">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3432AB1E">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0CE004EA">
            <w:pPr>
              <w:numPr>
                <w:ilvl w:val="0"/>
                <w:numId w:val="0"/>
              </w:numPr>
              <w:spacing w:line="360" w:lineRule="auto"/>
              <w:ind w:left="0" w:leftChars="0" w:firstLine="400" w:firstLineChars="0"/>
              <w:jc w:val="both"/>
              <w:rPr>
                <w:rFonts w:hint="eastAsia"/>
                <w:vertAlign w:val="baseline"/>
                <w:lang w:val="en-US" w:eastAsia="zh-CN"/>
              </w:rPr>
            </w:pPr>
          </w:p>
        </w:tc>
        <w:tc>
          <w:tcPr>
            <w:tcW w:w="1888" w:type="dxa"/>
            <w:vAlign w:val="center"/>
          </w:tcPr>
          <w:p w14:paraId="70365972">
            <w:pPr>
              <w:numPr>
                <w:ilvl w:val="0"/>
                <w:numId w:val="0"/>
              </w:numPr>
              <w:spacing w:line="360" w:lineRule="auto"/>
              <w:ind w:left="0" w:leftChars="0" w:firstLine="400" w:firstLineChars="0"/>
              <w:jc w:val="both"/>
              <w:rPr>
                <w:rFonts w:hint="eastAsia"/>
                <w:vertAlign w:val="baseline"/>
                <w:lang w:val="en-US" w:eastAsia="zh-CN"/>
              </w:rPr>
            </w:pPr>
          </w:p>
        </w:tc>
        <w:tc>
          <w:tcPr>
            <w:tcW w:w="956" w:type="dxa"/>
            <w:vAlign w:val="center"/>
          </w:tcPr>
          <w:p w14:paraId="4B372408">
            <w:pPr>
              <w:numPr>
                <w:ilvl w:val="0"/>
                <w:numId w:val="0"/>
              </w:numPr>
              <w:spacing w:line="360" w:lineRule="auto"/>
              <w:ind w:left="0" w:leftChars="0" w:firstLine="400" w:firstLineChars="0"/>
              <w:jc w:val="both"/>
              <w:rPr>
                <w:rFonts w:hint="eastAsia"/>
                <w:vertAlign w:val="baseline"/>
                <w:lang w:val="en-US" w:eastAsia="zh-CN"/>
              </w:rPr>
            </w:pPr>
          </w:p>
        </w:tc>
      </w:tr>
      <w:tr w14:paraId="4C1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2" w:type="dxa"/>
            <w:vAlign w:val="center"/>
          </w:tcPr>
          <w:p w14:paraId="221E360C">
            <w:pPr>
              <w:numPr>
                <w:ilvl w:val="0"/>
                <w:numId w:val="0"/>
              </w:numPr>
              <w:spacing w:line="360" w:lineRule="auto"/>
              <w:ind w:left="0" w:leftChars="0" w:firstLine="400" w:firstLineChars="0"/>
              <w:jc w:val="both"/>
              <w:rPr>
                <w:rFonts w:hint="eastAsia"/>
                <w:vertAlign w:val="baseline"/>
                <w:lang w:val="en-US" w:eastAsia="zh-CN"/>
              </w:rPr>
            </w:pPr>
          </w:p>
        </w:tc>
        <w:tc>
          <w:tcPr>
            <w:tcW w:w="1780" w:type="dxa"/>
            <w:vAlign w:val="center"/>
          </w:tcPr>
          <w:p w14:paraId="608ED5A3">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7B596B2F">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55C32149">
            <w:pPr>
              <w:numPr>
                <w:ilvl w:val="0"/>
                <w:numId w:val="0"/>
              </w:numPr>
              <w:spacing w:line="360" w:lineRule="auto"/>
              <w:ind w:left="0" w:leftChars="0" w:firstLine="400" w:firstLineChars="0"/>
              <w:jc w:val="both"/>
              <w:rPr>
                <w:rFonts w:hint="eastAsia"/>
                <w:vertAlign w:val="baseline"/>
                <w:lang w:val="en-US" w:eastAsia="zh-CN"/>
              </w:rPr>
            </w:pPr>
          </w:p>
        </w:tc>
        <w:tc>
          <w:tcPr>
            <w:tcW w:w="1888" w:type="dxa"/>
            <w:vAlign w:val="center"/>
          </w:tcPr>
          <w:p w14:paraId="29DB9167">
            <w:pPr>
              <w:numPr>
                <w:ilvl w:val="0"/>
                <w:numId w:val="0"/>
              </w:numPr>
              <w:spacing w:line="360" w:lineRule="auto"/>
              <w:ind w:left="0" w:leftChars="0" w:firstLine="400" w:firstLineChars="0"/>
              <w:jc w:val="both"/>
              <w:rPr>
                <w:rFonts w:hint="eastAsia"/>
                <w:vertAlign w:val="baseline"/>
                <w:lang w:val="en-US" w:eastAsia="zh-CN"/>
              </w:rPr>
            </w:pPr>
          </w:p>
        </w:tc>
        <w:tc>
          <w:tcPr>
            <w:tcW w:w="956" w:type="dxa"/>
            <w:vAlign w:val="center"/>
          </w:tcPr>
          <w:p w14:paraId="68E75F70">
            <w:pPr>
              <w:numPr>
                <w:ilvl w:val="0"/>
                <w:numId w:val="0"/>
              </w:numPr>
              <w:spacing w:line="360" w:lineRule="auto"/>
              <w:ind w:left="0" w:leftChars="0" w:firstLine="400" w:firstLineChars="0"/>
              <w:jc w:val="both"/>
              <w:rPr>
                <w:rFonts w:hint="eastAsia"/>
                <w:vertAlign w:val="baseline"/>
                <w:lang w:val="en-US" w:eastAsia="zh-CN"/>
              </w:rPr>
            </w:pPr>
          </w:p>
        </w:tc>
      </w:tr>
      <w:tr w14:paraId="5D42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2" w:type="dxa"/>
            <w:vAlign w:val="center"/>
          </w:tcPr>
          <w:p w14:paraId="38868997">
            <w:pPr>
              <w:numPr>
                <w:ilvl w:val="0"/>
                <w:numId w:val="0"/>
              </w:numPr>
              <w:spacing w:line="360" w:lineRule="auto"/>
              <w:ind w:left="0" w:leftChars="0" w:firstLine="400" w:firstLineChars="0"/>
              <w:jc w:val="both"/>
              <w:rPr>
                <w:rFonts w:hint="eastAsia"/>
                <w:vertAlign w:val="baseline"/>
                <w:lang w:val="en-US" w:eastAsia="zh-CN"/>
              </w:rPr>
            </w:pPr>
          </w:p>
        </w:tc>
        <w:tc>
          <w:tcPr>
            <w:tcW w:w="1780" w:type="dxa"/>
            <w:vAlign w:val="center"/>
          </w:tcPr>
          <w:p w14:paraId="174B2200">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3B511573">
            <w:pPr>
              <w:numPr>
                <w:ilvl w:val="0"/>
                <w:numId w:val="0"/>
              </w:numPr>
              <w:spacing w:line="360" w:lineRule="auto"/>
              <w:ind w:left="0" w:leftChars="0" w:firstLine="400" w:firstLineChars="0"/>
              <w:jc w:val="both"/>
              <w:rPr>
                <w:rFonts w:hint="eastAsia"/>
                <w:vertAlign w:val="baseline"/>
                <w:lang w:val="en-US" w:eastAsia="zh-CN"/>
              </w:rPr>
            </w:pPr>
          </w:p>
        </w:tc>
        <w:tc>
          <w:tcPr>
            <w:tcW w:w="1421" w:type="dxa"/>
            <w:vAlign w:val="center"/>
          </w:tcPr>
          <w:p w14:paraId="545B2410">
            <w:pPr>
              <w:numPr>
                <w:ilvl w:val="0"/>
                <w:numId w:val="0"/>
              </w:numPr>
              <w:spacing w:line="360" w:lineRule="auto"/>
              <w:ind w:left="0" w:leftChars="0" w:firstLine="400" w:firstLineChars="0"/>
              <w:jc w:val="both"/>
              <w:rPr>
                <w:rFonts w:hint="eastAsia"/>
                <w:vertAlign w:val="baseline"/>
                <w:lang w:val="en-US" w:eastAsia="zh-CN"/>
              </w:rPr>
            </w:pPr>
          </w:p>
        </w:tc>
        <w:tc>
          <w:tcPr>
            <w:tcW w:w="1888" w:type="dxa"/>
            <w:vAlign w:val="center"/>
          </w:tcPr>
          <w:p w14:paraId="11D502B3">
            <w:pPr>
              <w:numPr>
                <w:ilvl w:val="0"/>
                <w:numId w:val="0"/>
              </w:numPr>
              <w:spacing w:line="360" w:lineRule="auto"/>
              <w:ind w:left="0" w:leftChars="0" w:firstLine="400" w:firstLineChars="0"/>
              <w:jc w:val="both"/>
              <w:rPr>
                <w:rFonts w:hint="eastAsia"/>
                <w:vertAlign w:val="baseline"/>
                <w:lang w:val="en-US" w:eastAsia="zh-CN"/>
              </w:rPr>
            </w:pPr>
          </w:p>
        </w:tc>
        <w:tc>
          <w:tcPr>
            <w:tcW w:w="956" w:type="dxa"/>
            <w:vAlign w:val="center"/>
          </w:tcPr>
          <w:p w14:paraId="522F410B">
            <w:pPr>
              <w:numPr>
                <w:ilvl w:val="0"/>
                <w:numId w:val="0"/>
              </w:numPr>
              <w:spacing w:line="360" w:lineRule="auto"/>
              <w:ind w:left="400" w:leftChars="0"/>
              <w:jc w:val="both"/>
              <w:rPr>
                <w:rFonts w:hint="eastAsia"/>
                <w:vertAlign w:val="baseline"/>
                <w:lang w:val="en-US" w:eastAsia="zh-CN"/>
              </w:rPr>
            </w:pPr>
          </w:p>
        </w:tc>
      </w:tr>
    </w:tbl>
    <w:p w14:paraId="5CB6300C">
      <w:pPr>
        <w:numPr>
          <w:ilvl w:val="0"/>
          <w:numId w:val="0"/>
        </w:numPr>
        <w:spacing w:line="360" w:lineRule="auto"/>
        <w:ind w:left="400" w:leftChars="0"/>
        <w:rPr>
          <w:rFonts w:hint="eastAsia"/>
          <w:lang w:val="en-US" w:eastAsia="zh-CN"/>
        </w:rPr>
      </w:pPr>
    </w:p>
    <w:p w14:paraId="504AE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heme="minorEastAsia" w:hAnsiTheme="minorEastAsia" w:cstheme="minorEastAsia"/>
          <w:color w:val="FF0000"/>
          <w:sz w:val="24"/>
          <w:szCs w:val="24"/>
          <w:lang w:val="en-US" w:eastAsia="zh-CN"/>
        </w:rPr>
      </w:pPr>
    </w:p>
    <w:p w14:paraId="12A9DA3B">
      <w:pPr>
        <w:rPr>
          <w:rFonts w:hint="eastAsia"/>
          <w:b/>
          <w:sz w:val="32"/>
          <w:szCs w:val="32"/>
        </w:rPr>
      </w:pPr>
    </w:p>
    <w:p w14:paraId="3340503E">
      <w:pPr>
        <w:rPr>
          <w:rFonts w:hint="eastAsia"/>
          <w:b/>
          <w:sz w:val="32"/>
          <w:szCs w:val="32"/>
        </w:rPr>
      </w:pPr>
    </w:p>
    <w:p w14:paraId="59348087">
      <w:pPr>
        <w:rPr>
          <w:rFonts w:hint="eastAsia"/>
          <w:b/>
          <w:sz w:val="32"/>
          <w:szCs w:val="32"/>
        </w:rPr>
      </w:pPr>
    </w:p>
    <w:p w14:paraId="70A6988F">
      <w:pPr>
        <w:rPr>
          <w:rFonts w:hint="eastAsia"/>
          <w:b/>
          <w:sz w:val="32"/>
          <w:szCs w:val="32"/>
        </w:rPr>
      </w:pPr>
    </w:p>
    <w:p w14:paraId="4CA2A5E5">
      <w:pPr>
        <w:rPr>
          <w:rFonts w:hint="eastAsia"/>
          <w:b/>
          <w:sz w:val="32"/>
          <w:szCs w:val="32"/>
        </w:rPr>
      </w:pPr>
    </w:p>
    <w:p w14:paraId="38ED2254">
      <w:pPr>
        <w:rPr>
          <w:rFonts w:hint="eastAsia"/>
          <w:b/>
          <w:sz w:val="32"/>
          <w:szCs w:val="32"/>
        </w:rPr>
      </w:pPr>
    </w:p>
    <w:p w14:paraId="38E7E91E">
      <w:pPr>
        <w:rPr>
          <w:rFonts w:hint="eastAsia"/>
          <w:b/>
          <w:sz w:val="32"/>
          <w:szCs w:val="32"/>
        </w:rPr>
      </w:pPr>
    </w:p>
    <w:p w14:paraId="2011B463">
      <w:pPr>
        <w:rPr>
          <w:rFonts w:hint="eastAsia"/>
          <w:b/>
          <w:sz w:val="32"/>
          <w:szCs w:val="32"/>
        </w:rPr>
      </w:pPr>
    </w:p>
    <w:p w14:paraId="46DFE507">
      <w:pPr>
        <w:pStyle w:val="2"/>
        <w:spacing w:before="0" w:after="0"/>
        <w:jc w:val="center"/>
        <w:rPr>
          <w:rFonts w:hint="eastAsia" w:asciiTheme="minorEastAsia" w:hAnsiTheme="minorEastAsia"/>
          <w:color w:val="auto"/>
          <w:sz w:val="32"/>
          <w:highlight w:val="none"/>
        </w:rPr>
      </w:pPr>
    </w:p>
    <w:p w14:paraId="0CECAAD9">
      <w:pPr>
        <w:pStyle w:val="2"/>
        <w:spacing w:before="0" w:after="0"/>
        <w:jc w:val="center"/>
        <w:rPr>
          <w:rFonts w:hint="eastAsia" w:asciiTheme="minorEastAsia" w:hAnsiTheme="minorEastAsia"/>
          <w:color w:val="auto"/>
          <w:sz w:val="32"/>
          <w:highlight w:val="none"/>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2" w:name="_Toc24908"/>
      <w:r>
        <w:rPr>
          <w:rFonts w:hint="eastAsia"/>
          <w:color w:val="auto"/>
          <w:sz w:val="28"/>
          <w:highlight w:val="none"/>
        </w:rPr>
        <w:t>第一部分资格证明文件</w:t>
      </w:r>
      <w:bookmarkEnd w:id="2"/>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3" w:name="_Toc902"/>
      <w:bookmarkStart w:id="4"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3"/>
      <w:bookmarkEnd w:id="4"/>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5"/>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6" w:name="_资格证明文件"/>
      <w:bookmarkEnd w:id="6"/>
      <w:bookmarkStart w:id="7" w:name="_Toc10534"/>
      <w:bookmarkStart w:id="8"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7"/>
      <w:bookmarkEnd w:id="8"/>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9" w:name="_Toc26111"/>
      <w:bookmarkStart w:id="10" w:name="_Toc4559"/>
      <w:bookmarkStart w:id="11"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9"/>
      <w:bookmarkEnd w:id="10"/>
      <w:bookmarkEnd w:id="11"/>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7"/>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w:t>
      </w:r>
      <w:bookmarkStart w:id="54" w:name="_GoBack"/>
      <w:bookmarkEnd w:id="54"/>
      <w:r>
        <w:rPr>
          <w:rFonts w:hint="eastAsia" w:ascii="宋体" w:hAnsi="宋体"/>
          <w:color w:val="auto"/>
          <w:sz w:val="24"/>
          <w:highlight w:val="none"/>
          <w:lang w:val="en-US" w:eastAsia="zh-CN"/>
        </w:rPr>
        <w:t>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7"/>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2" w:name="_Toc569"/>
      <w:bookmarkStart w:id="13" w:name="_Toc24403"/>
      <w:bookmarkStart w:id="14"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2"/>
      <w:bookmarkEnd w:id="13"/>
      <w:bookmarkEnd w:id="14"/>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5" w:name="_Toc1972"/>
      <w:bookmarkStart w:id="16" w:name="_Toc10542"/>
    </w:p>
    <w:p w14:paraId="11FCB31D">
      <w:pPr>
        <w:pStyle w:val="4"/>
        <w:spacing w:before="0" w:after="0"/>
        <w:jc w:val="center"/>
        <w:rPr>
          <w:color w:val="auto"/>
          <w:sz w:val="28"/>
          <w:szCs w:val="28"/>
          <w:highlight w:val="none"/>
        </w:rPr>
      </w:pPr>
      <w:bookmarkStart w:id="17" w:name="_Toc32290"/>
      <w:r>
        <w:rPr>
          <w:rFonts w:hint="eastAsia"/>
          <w:color w:val="auto"/>
          <w:sz w:val="28"/>
          <w:szCs w:val="28"/>
          <w:highlight w:val="none"/>
        </w:rPr>
        <w:t>五、有依法缴纳税收和社会保障资金的良好记录</w:t>
      </w:r>
      <w:bookmarkEnd w:id="15"/>
      <w:bookmarkEnd w:id="16"/>
      <w:bookmarkEnd w:id="17"/>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8" w:name="_Toc32668"/>
      <w:bookmarkStart w:id="19" w:name="_Toc31728"/>
      <w:bookmarkStart w:id="20"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8"/>
      <w:bookmarkEnd w:id="19"/>
      <w:bookmarkEnd w:id="20"/>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1" w:name="_Toc925"/>
      <w:r>
        <w:rPr>
          <w:rFonts w:hint="eastAsia"/>
          <w:color w:val="auto"/>
          <w:sz w:val="24"/>
          <w:highlight w:val="none"/>
        </w:rPr>
        <w:br w:type="page"/>
      </w:r>
      <w:bookmarkEnd w:id="21"/>
      <w:bookmarkStart w:id="22" w:name="_Toc11219"/>
      <w:bookmarkStart w:id="23" w:name="_Toc28112"/>
      <w:bookmarkStart w:id="24"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2"/>
      <w:bookmarkEnd w:id="23"/>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4"/>
    <w:p w14:paraId="6D8B67AE">
      <w:pPr>
        <w:bidi w:val="0"/>
        <w:rPr>
          <w:rFonts w:hint="eastAsia"/>
          <w:lang w:eastAsia="zh-CN"/>
        </w:rPr>
      </w:pPr>
      <w:bookmarkStart w:id="25"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九、无关联关系声明</w:t>
      </w:r>
      <w:bookmarkEnd w:id="25"/>
      <w:bookmarkEnd w:id="26"/>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7" w:name="_Toc29119"/>
      <w:r>
        <w:rPr>
          <w:rFonts w:hint="eastAsia"/>
          <w:color w:val="auto"/>
          <w:sz w:val="28"/>
          <w:highlight w:val="none"/>
        </w:rPr>
        <w:t>第二部分商务、技术文件</w:t>
      </w:r>
      <w:bookmarkEnd w:id="27"/>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8"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8"/>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6567"/>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923"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567"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23"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567"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3"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567"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923" w:type="dxa"/>
            <w:vAlign w:val="center"/>
          </w:tcPr>
          <w:p w14:paraId="6DF7B114">
            <w:pPr>
              <w:tabs>
                <w:tab w:val="left" w:pos="926"/>
                <w:tab w:val="left" w:pos="4335"/>
                <w:tab w:val="left" w:pos="4515"/>
                <w:tab w:val="left" w:pos="7227"/>
              </w:tabs>
              <w:ind w:left="-78" w:leftChars="0"/>
              <w:jc w:val="center"/>
              <w:rPr>
                <w:rFonts w:hint="eastAsia" w:ascii="宋体" w:hAnsi="宋体" w:cs="宋体"/>
                <w:color w:val="auto"/>
                <w:sz w:val="24"/>
                <w:highlight w:val="none"/>
                <w:lang w:eastAsia="zh-CN"/>
              </w:rPr>
            </w:pPr>
            <w:r>
              <w:rPr>
                <w:rFonts w:hint="eastAsia"/>
                <w:sz w:val="24"/>
                <w:szCs w:val="24"/>
                <w:highlight w:val="none"/>
                <w:lang w:eastAsia="zh-CN"/>
              </w:rPr>
              <w:t>服务期限</w:t>
            </w:r>
          </w:p>
        </w:tc>
        <w:tc>
          <w:tcPr>
            <w:tcW w:w="6567" w:type="dxa"/>
            <w:vAlign w:val="center"/>
          </w:tcPr>
          <w:p w14:paraId="49FBA2FA">
            <w:pPr>
              <w:tabs>
                <w:tab w:val="left" w:pos="926"/>
                <w:tab w:val="left" w:pos="4335"/>
                <w:tab w:val="left" w:pos="4515"/>
                <w:tab w:val="left" w:pos="7227"/>
              </w:tabs>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b w:val="0"/>
                <w:bCs/>
                <w:sz w:val="24"/>
                <w:szCs w:val="24"/>
                <w:lang w:val="en-US" w:eastAsia="zh-CN"/>
              </w:rPr>
              <w:t>合同签订之日起，服务期</w:t>
            </w:r>
            <w:r>
              <w:rPr>
                <w:rFonts w:hint="eastAsia" w:ascii="宋体" w:hAnsi="宋体" w:cs="宋体"/>
                <w:b w:val="0"/>
                <w:bCs/>
                <w:color w:val="auto"/>
                <w:sz w:val="24"/>
                <w:highlight w:val="none"/>
                <w:lang w:val="en-US" w:eastAsia="zh-CN"/>
              </w:rPr>
              <w:t>____年</w:t>
            </w:r>
          </w:p>
        </w:tc>
      </w:tr>
      <w:tr w14:paraId="67B3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23" w:type="dxa"/>
            <w:shd w:val="clear" w:color="auto" w:fill="auto"/>
            <w:vAlign w:val="center"/>
          </w:tcPr>
          <w:p w14:paraId="53B84C8C">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其他声明</w:t>
            </w:r>
          </w:p>
        </w:tc>
        <w:tc>
          <w:tcPr>
            <w:tcW w:w="6567" w:type="dxa"/>
            <w:shd w:val="clear" w:color="auto" w:fill="auto"/>
            <w:vAlign w:val="top"/>
          </w:tcPr>
          <w:p w14:paraId="58D3FBC0">
            <w:pPr>
              <w:tabs>
                <w:tab w:val="left" w:pos="926"/>
                <w:tab w:val="left" w:pos="4335"/>
                <w:tab w:val="left" w:pos="4515"/>
                <w:tab w:val="left" w:pos="7227"/>
              </w:tabs>
              <w:spacing w:line="360" w:lineRule="auto"/>
              <w:jc w:val="left"/>
              <w:rPr>
                <w:highlight w:val="none"/>
              </w:rPr>
            </w:pPr>
          </w:p>
          <w:p w14:paraId="14A63288">
            <w:pPr>
              <w:pStyle w:val="27"/>
              <w:ind w:firstLine="210" w:firstLineChars="100"/>
              <w:rPr>
                <w:rFonts w:asciiTheme="minorHAnsi" w:hAnsiTheme="minorHAnsi" w:eastAsiaTheme="minorEastAsia" w:cstheme="minorBidi"/>
                <w:kern w:val="2"/>
                <w:sz w:val="21"/>
                <w:szCs w:val="22"/>
                <w:highlight w:val="none"/>
                <w:lang w:val="en-US" w:eastAsia="zh-CN" w:bidi="ar-SA"/>
              </w:rPr>
            </w:pPr>
          </w:p>
        </w:tc>
      </w:tr>
    </w:tbl>
    <w:p w14:paraId="1DC9B767">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宋体" w:hAnsi="宋体" w:eastAsia="宋体" w:cs="宋体"/>
          <w:b w:val="0"/>
          <w:bCs/>
          <w:color w:val="auto"/>
          <w:sz w:val="21"/>
          <w:szCs w:val="21"/>
          <w:lang w:eastAsia="zh-CN"/>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w:t>
      </w:r>
      <w:r>
        <w:rPr>
          <w:rFonts w:hint="eastAsia" w:ascii="宋体" w:hAnsi="宋体" w:eastAsia="宋体" w:cs="宋体"/>
          <w:b w:val="0"/>
          <w:bCs/>
          <w:color w:val="auto"/>
          <w:sz w:val="21"/>
          <w:szCs w:val="21"/>
          <w:lang w:eastAsia="zh-CN"/>
        </w:rPr>
        <w:t>之和，</w:t>
      </w:r>
      <w:r>
        <w:rPr>
          <w:rFonts w:hint="eastAsia" w:ascii="宋体" w:hAnsi="宋体" w:eastAsia="宋体" w:cs="宋体"/>
          <w:b w:val="0"/>
          <w:bCs/>
          <w:color w:val="auto"/>
          <w:sz w:val="21"/>
          <w:szCs w:val="21"/>
          <w:lang w:val="en-US" w:eastAsia="zh-CN"/>
        </w:rPr>
        <w:t>本项目投标报价应包括：项目内的服务和配件费用，需方不再支付其他的任何费用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25A9EAA8">
      <w:pPr>
        <w:spacing w:line="360" w:lineRule="auto"/>
        <w:rPr>
          <w:rFonts w:hint="eastAsia" w:ascii="宋体" w:hAnsi="宋体" w:eastAsiaTheme="minorEastAsia" w:cstheme="minorBidi"/>
          <w:bCs/>
          <w:kern w:val="2"/>
          <w:sz w:val="24"/>
          <w:szCs w:val="24"/>
          <w:lang w:val="en-US" w:eastAsia="zh-CN" w:bidi="ar-SA"/>
        </w:rPr>
      </w:pPr>
    </w:p>
    <w:p w14:paraId="0297B1EF">
      <w:pPr>
        <w:spacing w:line="360" w:lineRule="auto"/>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供应商名称（盖章）：</w:t>
      </w:r>
    </w:p>
    <w:p w14:paraId="13EEB303">
      <w:pPr>
        <w:spacing w:line="360" w:lineRule="auto"/>
        <w:rPr>
          <w:rFonts w:hint="eastAsia" w:ascii="宋体" w:hAnsi="宋体" w:eastAsiaTheme="minorEastAsia" w:cstheme="minorBidi"/>
          <w:bCs/>
          <w:kern w:val="2"/>
          <w:sz w:val="24"/>
          <w:szCs w:val="24"/>
          <w:lang w:val="en-US" w:eastAsia="zh-CN" w:bidi="ar-SA"/>
        </w:rPr>
      </w:pPr>
    </w:p>
    <w:p w14:paraId="58F72694">
      <w:pPr>
        <w:spacing w:line="360" w:lineRule="auto"/>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 xml:space="preserve">法定代表人或其委托代理人（签字或盖章）：   </w:t>
      </w:r>
    </w:p>
    <w:p w14:paraId="5836A9C6">
      <w:pPr>
        <w:spacing w:line="360" w:lineRule="auto"/>
        <w:rPr>
          <w:rFonts w:hint="eastAsia" w:ascii="宋体" w:hAnsi="宋体" w:eastAsiaTheme="minorEastAsia" w:cstheme="minorBidi"/>
          <w:bCs/>
          <w:kern w:val="2"/>
          <w:sz w:val="24"/>
          <w:szCs w:val="24"/>
          <w:lang w:val="en-US" w:eastAsia="zh-CN" w:bidi="ar-SA"/>
        </w:rPr>
      </w:pPr>
    </w:p>
    <w:p w14:paraId="1DC0C89A">
      <w:pPr>
        <w:spacing w:line="360" w:lineRule="auto"/>
        <w:rPr>
          <w:rFonts w:hint="default"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日期：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28"/>
        <w:tabs>
          <w:tab w:val="left" w:pos="945"/>
          <w:tab w:val="left" w:pos="1155"/>
        </w:tabs>
        <w:ind w:firstLine="0" w:firstLineChars="0"/>
        <w:rPr>
          <w:rFonts w:hint="eastAsia"/>
        </w:rPr>
      </w:pPr>
    </w:p>
    <w:p w14:paraId="1415C0DD">
      <w:pPr>
        <w:pStyle w:val="28"/>
        <w:tabs>
          <w:tab w:val="left" w:pos="945"/>
          <w:tab w:val="left" w:pos="1155"/>
        </w:tabs>
        <w:ind w:firstLine="0" w:firstLineChars="0"/>
        <w:rPr>
          <w:rFonts w:hint="eastAsia"/>
        </w:rPr>
      </w:pPr>
    </w:p>
    <w:p w14:paraId="626AB2D7">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7"/>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9" w:name="_Toc21266"/>
      <w:bookmarkStart w:id="30"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9"/>
      <w:bookmarkEnd w:id="30"/>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7"/>
        <w:rPr>
          <w:rFonts w:hint="eastAsia"/>
          <w:lang w:val="en-US" w:eastAsia="zh-CN"/>
        </w:rPr>
      </w:pPr>
    </w:p>
    <w:p w14:paraId="273B3F63">
      <w:pPr>
        <w:rPr>
          <w:rFonts w:hint="eastAsia"/>
          <w:lang w:val="en-US" w:eastAsia="zh-CN"/>
        </w:rPr>
      </w:pPr>
    </w:p>
    <w:p w14:paraId="3EB6FF68">
      <w:pPr>
        <w:pStyle w:val="27"/>
        <w:rPr>
          <w:rFonts w:hint="eastAsia"/>
          <w:lang w:val="en-US" w:eastAsia="zh-CN"/>
        </w:rPr>
      </w:pPr>
    </w:p>
    <w:p w14:paraId="72C7C170">
      <w:pPr>
        <w:rPr>
          <w:rFonts w:hint="eastAsia"/>
          <w:lang w:val="en-US" w:eastAsia="zh-CN"/>
        </w:rPr>
      </w:pPr>
    </w:p>
    <w:p w14:paraId="7FD08D24">
      <w:pPr>
        <w:pStyle w:val="27"/>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7"/>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1"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1"/>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7"/>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7"/>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7"/>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7"/>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7"/>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7"/>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7"/>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7"/>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7"/>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7"/>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7"/>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8"/>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7"/>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7"/>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2" w:name="_Toc11982"/>
      <w:bookmarkStart w:id="33"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2"/>
      <w:bookmarkEnd w:id="33"/>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4" w:name="_Toc23816"/>
      <w:bookmarkStart w:id="35"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4"/>
      <w:bookmarkEnd w:id="35"/>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6" w:name="_Toc2922"/>
      <w:bookmarkStart w:id="37" w:name="_Toc4948"/>
      <w:bookmarkStart w:id="38" w:name="_Toc337554798"/>
      <w:bookmarkStart w:id="39" w:name="_Toc349642319"/>
      <w:bookmarkStart w:id="40" w:name="_Toc30765"/>
      <w:bookmarkStart w:id="41" w:name="_Toc337475928"/>
      <w:bookmarkStart w:id="42" w:name="_Toc4599"/>
      <w:bookmarkStart w:id="43" w:name="_Toc10750"/>
      <w:bookmarkStart w:id="44" w:name="_Toc320878714"/>
      <w:bookmarkStart w:id="45" w:name="_Toc28583"/>
      <w:bookmarkStart w:id="46" w:name="_Toc29526"/>
      <w:bookmarkStart w:id="47" w:name="_Toc304219331"/>
      <w:bookmarkStart w:id="48" w:name="_Toc15867"/>
      <w:bookmarkStart w:id="49" w:name="_Toc12801"/>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6"/>
      <w:bookmarkEnd w:id="37"/>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0" w:name="_Toc7716"/>
      <w:bookmarkStart w:id="51" w:name="_Toc8810"/>
      <w:r>
        <w:rPr>
          <w:rFonts w:hint="eastAsia"/>
          <w:sz w:val="28"/>
          <w:szCs w:val="28"/>
          <w:lang w:val="en-US" w:eastAsia="zh-CN"/>
        </w:rPr>
        <w:t>九、优惠承诺</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2" w:name="_Toc11154"/>
      <w:bookmarkStart w:id="53" w:name="_Toc17593"/>
      <w:r>
        <w:rPr>
          <w:rFonts w:hint="eastAsia"/>
          <w:sz w:val="28"/>
          <w:szCs w:val="28"/>
          <w:lang w:val="en-US" w:eastAsia="zh-CN"/>
        </w:rPr>
        <w:t>十、</w:t>
      </w:r>
      <w:bookmarkEnd w:id="52"/>
      <w:bookmarkEnd w:id="53"/>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F37BD375"/>
    <w:multiLevelType w:val="singleLevel"/>
    <w:tmpl w:val="F37BD375"/>
    <w:lvl w:ilvl="0" w:tentative="0">
      <w:start w:val="1"/>
      <w:numFmt w:val="decimal"/>
      <w:suff w:val="nothing"/>
      <w:lvlText w:val="(%1)"/>
      <w:lvlJc w:val="left"/>
      <w:pPr>
        <w:ind w:left="425" w:hanging="425"/>
      </w:pPr>
      <w:rPr>
        <w:rFonts w:hint="default"/>
      </w:rPr>
    </w:lvl>
  </w:abstractNum>
  <w:abstractNum w:abstractNumId="2">
    <w:nsid w:val="3ACA94BD"/>
    <w:multiLevelType w:val="singleLevel"/>
    <w:tmpl w:val="3ACA94BD"/>
    <w:lvl w:ilvl="0" w:tentative="0">
      <w:start w:val="1"/>
      <w:numFmt w:val="chineseCounting"/>
      <w:suff w:val="nothing"/>
      <w:lvlText w:val="%1、"/>
      <w:lvlJc w:val="left"/>
      <w:rPr>
        <w:rFonts w:hint="eastAsia"/>
      </w:rPr>
    </w:lvl>
  </w:abstractNum>
  <w:abstractNum w:abstractNumId="3">
    <w:nsid w:val="48B56E08"/>
    <w:multiLevelType w:val="singleLevel"/>
    <w:tmpl w:val="48B56E08"/>
    <w:lvl w:ilvl="0" w:tentative="0">
      <w:start w:val="1"/>
      <w:numFmt w:val="decimal"/>
      <w:suff w:val="nothing"/>
      <w:lvlText w:val="(%1)"/>
      <w:lvlJc w:val="left"/>
      <w:pPr>
        <w:ind w:left="425" w:hanging="425"/>
      </w:pPr>
      <w:rPr>
        <w:rFonts w:hint="default"/>
      </w:rPr>
    </w:lvl>
  </w:abstractNum>
  <w:abstractNum w:abstractNumId="4">
    <w:nsid w:val="4E6F3E41"/>
    <w:multiLevelType w:val="singleLevel"/>
    <w:tmpl w:val="4E6F3E41"/>
    <w:lvl w:ilvl="0" w:tentative="0">
      <w:start w:val="2"/>
      <w:numFmt w:val="chineseCounting"/>
      <w:suff w:val="space"/>
      <w:lvlText w:val="第%1章"/>
      <w:lvlJc w:val="left"/>
      <w:rPr>
        <w:rFonts w:hint="eastAsia"/>
      </w:rPr>
    </w:lvl>
  </w:abstractNum>
  <w:abstractNum w:abstractNumId="5">
    <w:nsid w:val="6112ECA6"/>
    <w:multiLevelType w:val="singleLevel"/>
    <w:tmpl w:val="6112ECA6"/>
    <w:lvl w:ilvl="0" w:tentative="0">
      <w:start w:val="5"/>
      <w:numFmt w:val="chineseCounting"/>
      <w:suff w:val="nothing"/>
      <w:lvlText w:val="%1、"/>
      <w:lvlJc w:val="left"/>
      <w:rPr>
        <w:rFonts w:hint="eastAsia"/>
      </w:rPr>
    </w:lvl>
  </w:abstractNum>
  <w:abstractNum w:abstractNumId="6">
    <w:nsid w:val="6FAD6FE1"/>
    <w:multiLevelType w:val="singleLevel"/>
    <w:tmpl w:val="6FAD6FE1"/>
    <w:lvl w:ilvl="0" w:tentative="0">
      <w:start w:val="3"/>
      <w:numFmt w:val="decimal"/>
      <w:lvlText w:val="%1."/>
      <w:lvlJc w:val="left"/>
      <w:pPr>
        <w:tabs>
          <w:tab w:val="left" w:pos="312"/>
        </w:tabs>
      </w:pPr>
    </w:lvl>
  </w:abstractNum>
  <w:abstractNum w:abstractNumId="7">
    <w:nsid w:val="73186D25"/>
    <w:multiLevelType w:val="singleLevel"/>
    <w:tmpl w:val="73186D25"/>
    <w:lvl w:ilvl="0" w:tentative="0">
      <w:start w:val="1"/>
      <w:numFmt w:val="decimal"/>
      <w:suff w:val="nothing"/>
      <w:lvlText w:val="(%1)"/>
      <w:lvlJc w:val="left"/>
      <w:pPr>
        <w:ind w:left="425" w:hanging="425"/>
      </w:pPr>
      <w:rPr>
        <w:rFonts w:hint="default"/>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0E7B3C"/>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06D16"/>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4F5F72"/>
    <w:rsid w:val="317E24A7"/>
    <w:rsid w:val="31930CF6"/>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443D90"/>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6E71979"/>
    <w:rsid w:val="67137614"/>
    <w:rsid w:val="673F4A35"/>
    <w:rsid w:val="674F7003"/>
    <w:rsid w:val="68223A04"/>
    <w:rsid w:val="687666C7"/>
    <w:rsid w:val="68836CDF"/>
    <w:rsid w:val="689A077C"/>
    <w:rsid w:val="6916144E"/>
    <w:rsid w:val="6A2F184D"/>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AE55D78"/>
    <w:rsid w:val="7B4C1855"/>
    <w:rsid w:val="7C7B37A9"/>
    <w:rsid w:val="7C9030E0"/>
    <w:rsid w:val="7C9D4740"/>
    <w:rsid w:val="7CEF755F"/>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7653</Words>
  <Characters>8862</Characters>
  <Lines>315</Lines>
  <Paragraphs>88</Paragraphs>
  <TotalTime>0</TotalTime>
  <ScaleCrop>false</ScaleCrop>
  <LinksUpToDate>false</LinksUpToDate>
  <CharactersWithSpaces>9520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2026-06-17T02:59:40Z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DF344659D1B342959A2B85E14C7B97C3_13</vt:lpwstr>
  </property>
  <property fmtid="{D5CDD505-2E9C-101B-9397-08002B2CF9AE}" pid="4" name="KSOTemplateDocerSaveRecord">
    <vt:lpwstr>eyJoZGlkIjoiMTUyMDA2ZjQ4N2YyNDAzZWJjY2U2NWNkZDY5ZDY4ZDAiLCJ1c2VySWQiOiIxNTkzMTM1MzcxIn0=</vt:lpwstr>
  </property>
</Properties>
</file>